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360"/>
        <w:jc w:val="center"/>
      </w:pPr>
      <w:r>
        <w:rPr>
          <w:rFonts w:ascii="Calibri" w:cs="Calibri" w:eastAsia="Calibri" w:hAnsi="Calibri"/>
          <w:b/>
          <w:bCs/>
          <w:color w:val="0B2545"/>
          <w:sz w:val="34"/>
          <w:szCs w:val="34"/>
        </w:rPr>
        <w:t xml:space="preserve">ENTERPRISE BUSINESS CASE &amp; INVESTMENT DOSSIER</w:t>
      </w:r>
    </w:p>
    <w:p>
      <w:pPr>
        <w:spacing w:after="240" w:before="0"/>
        <w:jc w:val="center"/>
      </w:pPr>
      <w:r>
        <w:rPr>
          <w:rFonts w:ascii="Calibri" w:cs="Calibri" w:eastAsia="Calibri" w:hAnsi="Calibri"/>
          <w:b/>
          <w:bCs/>
          <w:color w:val="B8860B"/>
          <w:sz w:val="22"/>
          <w:szCs w:val="22"/>
        </w:rPr>
        <w:t xml:space="preserve">MIDBrain: Sovereign AI Platform for Credit Intelligence, Regulatory Compliance &amp; Operational Acceleration</w:t>
      </w:r>
    </w:p>
    <w:p>
      <w:pPr>
        <w:spacing w:after="20" w:before="40" w:line="250"/>
        <w:jc w:val="center"/>
      </w:pPr>
      <w:r>
        <w:rPr>
          <w:rFonts w:ascii="Calibri" w:cs="Calibri" w:eastAsia="Calibri" w:hAnsi="Calibri"/>
          <w:b/>
          <w:bCs/>
          <w:i w:val="false"/>
          <w:iCs w:val="false"/>
          <w:color w:val="0B2545"/>
          <w:sz w:val="21"/>
          <w:szCs w:val="21"/>
        </w:rPr>
        <w:t xml:space="preserve">Client Organization: </w:t>
      </w:r>
      <w:r>
        <w:rPr>
          <w:rFonts w:ascii="Calibri" w:cs="Calibri" w:eastAsia="Calibri" w:hAnsi="Calibri"/>
          <w:b w:val="false"/>
          <w:bCs w:val="false"/>
          <w:i w:val="false"/>
          <w:iCs w:val="false"/>
          <w:color w:val="1E293B"/>
          <w:sz w:val="21"/>
          <w:szCs w:val="21"/>
        </w:rPr>
        <w:t xml:space="preserve">MIDBANK Egypt (بنك ميد ش.م.م - formerly Misr Iran Development Bank)</w:t>
      </w:r>
    </w:p>
    <w:p>
      <w:pPr>
        <w:spacing w:after="20" w:before="40" w:line="250"/>
        <w:jc w:val="center"/>
      </w:pPr>
      <w:r>
        <w:rPr>
          <w:rFonts w:ascii="Calibri" w:cs="Calibri" w:eastAsia="Calibri" w:hAnsi="Calibri"/>
          <w:b/>
          <w:bCs/>
          <w:i w:val="false"/>
          <w:iCs w:val="false"/>
          <w:color w:val="0B2545"/>
          <w:sz w:val="21"/>
          <w:szCs w:val="21"/>
        </w:rPr>
        <w:t xml:space="preserve">Target Initiative: </w:t>
      </w:r>
      <w:r>
        <w:rPr>
          <w:rFonts w:ascii="Calibri" w:cs="Calibri" w:eastAsia="Calibri" w:hAnsi="Calibri"/>
          <w:b w:val="false"/>
          <w:bCs w:val="false"/>
          <w:i w:val="false"/>
          <w:iCs w:val="false"/>
          <w:color w:val="1E293B"/>
          <w:sz w:val="21"/>
          <w:szCs w:val="21"/>
        </w:rPr>
        <w:t xml:space="preserve">MIDBrain Banking Intelligence &amp; Underwriting Copilot</w:t>
      </w:r>
    </w:p>
    <w:p>
      <w:pPr>
        <w:spacing w:after="20" w:before="40" w:line="250"/>
        <w:jc w:val="center"/>
      </w:pPr>
      <w:r>
        <w:rPr>
          <w:rFonts w:ascii="Calibri" w:cs="Calibri" w:eastAsia="Calibri" w:hAnsi="Calibri"/>
          <w:b/>
          <w:bCs/>
          <w:i w:val="false"/>
          <w:iCs w:val="false"/>
          <w:color w:val="0B2545"/>
          <w:sz w:val="21"/>
          <w:szCs w:val="21"/>
        </w:rPr>
        <w:t xml:space="preserve">Regulatory Jurisdiction: </w:t>
      </w:r>
      <w:r>
        <w:rPr>
          <w:rFonts w:ascii="Calibri" w:cs="Calibri" w:eastAsia="Calibri" w:hAnsi="Calibri"/>
          <w:b w:val="false"/>
          <w:bCs w:val="false"/>
          <w:i w:val="false"/>
          <w:iCs w:val="false"/>
          <w:color w:val="1E293B"/>
          <w:sz w:val="21"/>
          <w:szCs w:val="21"/>
        </w:rPr>
        <w:t xml:space="preserve">Central Bank of Egypt (CBE Law No. 194/2020) &amp; Egyptian PDPL (Law No. 151/2020)</w:t>
      </w:r>
    </w:p>
    <w:p>
      <w:pPr>
        <w:spacing w:after="120" w:before="40" w:line="250"/>
        <w:jc w:val="center"/>
      </w:pPr>
      <w:r>
        <w:rPr>
          <w:rFonts w:ascii="Calibri" w:cs="Calibri" w:eastAsia="Calibri" w:hAnsi="Calibri"/>
          <w:b/>
          <w:bCs/>
          <w:i w:val="false"/>
          <w:iCs w:val="false"/>
          <w:color w:val="0B2545"/>
          <w:sz w:val="21"/>
          <w:szCs w:val="21"/>
        </w:rPr>
        <w:t xml:space="preserve">Date of Issue: </w:t>
      </w:r>
      <w:r>
        <w:rPr>
          <w:rFonts w:ascii="Calibri" w:cs="Calibri" w:eastAsia="Calibri" w:hAnsi="Calibri"/>
          <w:b w:val="false"/>
          <w:bCs w:val="false"/>
          <w:i w:val="false"/>
          <w:iCs w:val="false"/>
          <w:color w:val="1E293B"/>
          <w:sz w:val="21"/>
          <w:szCs w:val="21"/>
        </w:rPr>
        <w:t xml:space="preserve">August 2026 | Version: 1.0 (Comprehensive Enterprise Release)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none"/>
              <w:left w:val="single" w:color="B8860B" w:sz="24"/>
              <w:bottom w:val="none"/>
              <w:right w:val="none"/>
            </w:tcBorders>
            <w:shd w:fill="F8FAFC" w:val="clear"/>
            <w:tcMar>
              <w:top w:type="dxa" w:w="120"/>
              <w:left w:type="dxa" w:w="160"/>
              <w:bottom w:type="dxa" w:w="120"/>
              <w:right w:type="dxa" w:w="160"/>
            </w:tcMar>
          </w:tcPr>
          <w:p>
            <w:pPr>
              <w:spacing w:after="30" w:before="0"/>
            </w:pPr>
            <w:r>
              <w:rPr>
                <w:rFonts w:ascii="Calibri" w:cs="Calibri" w:eastAsia="Calibri" w:hAnsi="Calibri"/>
                <w:b/>
                <w:bCs/>
                <w:color w:val="B8860B"/>
                <w:sz w:val="19"/>
                <w:szCs w:val="19"/>
              </w:rPr>
              <w:t xml:space="preserve">📌 EXECUTIVE INVESTMENT THESIS</w:t>
            </w:r>
          </w:p>
          <w:p>
            <w:pPr>
              <w:spacing w:after="0" w:before="0" w:line="240"/>
            </w:pPr>
            <w:r>
              <w:rPr>
                <w:rFonts w:ascii="Calibri" w:cs="Calibri" w:eastAsia="Calibri" w:hAnsi="Calibri"/>
                <w:i/>
                <w:iCs/>
                <w:color w:val="1E293B"/>
                <w:sz w:val="20"/>
                <w:szCs w:val="20"/>
              </w:rPr>
              <w:t xml:space="preserve">MIDBrain establishes a sovereign, on-premises artificial intelligence backbone engineered specifically for MIDBANK Egypt. By combining automated financial spreading, layout-aware Arabic OCR, and citation-grounded regulatory search across 300+ Central Bank of Egypt circulars, MIDBANK will compress SME credit underwriting cycles from 18 business days down to 4–5 business days (&gt;70% acceleration), eliminate compliance search latency, and deliver an estimated 3-year Net Economic Value of EGP 24.8M against a Total Cost of Ownership of EGP 3.45M (Net Present Value: EGP 11.24M, IRR: 68.4%, Payback: 14.2 months).</w:t>
            </w:r>
          </w:p>
        </w:tc>
      </w:tr>
    </w:tbl>
    <w:p>
      <w:pPr>
        <w:pStyle w:val="Heading1"/>
        <w:spacing w:after="100" w:before="280"/>
      </w:pPr>
      <w:r>
        <w:rPr>
          <w:rFonts w:ascii="Calibri" w:cs="Calibri" w:eastAsia="Calibri" w:hAnsi="Calibri"/>
          <w:b/>
          <w:bCs/>
          <w:color w:val="0B2545"/>
          <w:sz w:val="26"/>
          <w:szCs w:val="26"/>
        </w:rPr>
        <w:t xml:space="preserve">1. Institutional Context &amp; Strategic Drivers</w:t>
      </w:r>
    </w:p>
    <w:p>
      <w:pPr>
        <w:spacing w:after="60" w:before="40" w:line="250"/>
        <w:jc w:val="left"/>
      </w:pPr>
      <w:r>
        <w:rPr>
          <w:rFonts w:ascii="Calibri" w:cs="Calibri" w:eastAsia="Calibri" w:hAnsi="Calibri"/>
          <w:b w:val="false"/>
          <w:bCs w:val="false"/>
          <w:i w:val="false"/>
          <w:iCs w:val="false"/>
          <w:color w:val="1E293B"/>
          <w:sz w:val="21"/>
          <w:szCs w:val="21"/>
        </w:rPr>
        <w:t xml:space="preserve">The Egyptian commercial banking landscape is experiencing a profound structural transformation. Under the regulatory aegis of the Central Bank of Egypt (CBE) and the framework established by Banking Law No. 194 of 2020, commercial banks are mandated to expand credit facilities to Small and Medium Enterprises (SMEs), adhere to stringent Basel III capital and liquidity ratios, and comply with strict Egyptian Personal Data Protection standards (PDPL Law 151/2020).</w:t>
      </w:r>
    </w:p>
    <w:p>
      <w:pPr>
        <w:pStyle w:val="Heading2"/>
        <w:spacing w:after="80" w:before="200"/>
      </w:pPr>
      <w:r>
        <w:rPr>
          <w:rFonts w:ascii="Calibri" w:cs="Calibri" w:eastAsia="Calibri" w:hAnsi="Calibri"/>
          <w:b/>
          <w:bCs/>
          <w:color w:val="B8860B"/>
          <w:sz w:val="21"/>
          <w:szCs w:val="21"/>
        </w:rPr>
        <w:t xml:space="preserve">1.1 MIDBANK Profile &amp; The 'انطلق بقوة' Transformation</w:t>
      </w:r>
    </w:p>
    <w:p>
      <w:pPr>
        <w:spacing w:after="60" w:before="40" w:line="250"/>
        <w:jc w:val="left"/>
      </w:pPr>
      <w:r>
        <w:rPr>
          <w:rFonts w:ascii="Calibri" w:cs="Calibri" w:eastAsia="Calibri" w:hAnsi="Calibri"/>
          <w:b w:val="false"/>
          <w:bCs w:val="false"/>
          <w:i w:val="false"/>
          <w:iCs w:val="false"/>
          <w:color w:val="1E293B"/>
          <w:sz w:val="21"/>
          <w:szCs w:val="21"/>
        </w:rPr>
        <w:t xml:space="preserve">MIDBANK (بنك ميد), formerly known as Misr Iran Development Bank, has embarked on an ambitious corporate reinvention under the motto 'انطلق بقوة' (Empower Your Future). As the bank modernizes its retail banking footprint, expands its corporate loan book, and targets high-margin SME lending, legacy manual processes in credit assessment and regulatory compliance represent major bottlenecks to growth.</w:t>
      </w:r>
    </w:p>
    <w:p>
      <w:pPr>
        <w:pStyle w:val="Heading2"/>
        <w:spacing w:after="80" w:before="200"/>
      </w:pPr>
      <w:r>
        <w:rPr>
          <w:rFonts w:ascii="Calibri" w:cs="Calibri" w:eastAsia="Calibri" w:hAnsi="Calibri"/>
          <w:b/>
          <w:bCs/>
          <w:color w:val="B8860B"/>
          <w:sz w:val="21"/>
          <w:szCs w:val="21"/>
        </w:rPr>
        <w:t xml:space="preserve">1.2 The Core Operational Challenge in SME &amp; Corporate Lending</w:t>
      </w:r>
    </w:p>
    <w:p>
      <w:pPr>
        <w:spacing w:after="60" w:before="40" w:line="250"/>
        <w:jc w:val="left"/>
      </w:pPr>
      <w:r>
        <w:rPr>
          <w:rFonts w:ascii="Calibri" w:cs="Calibri" w:eastAsia="Calibri" w:hAnsi="Calibri"/>
          <w:b w:val="false"/>
          <w:bCs w:val="false"/>
          <w:i w:val="false"/>
          <w:iCs w:val="false"/>
          <w:color w:val="1E293B"/>
          <w:sz w:val="21"/>
          <w:szCs w:val="21"/>
        </w:rPr>
        <w:t xml:space="preserve">Currently, evaluating an SME or mid-corporate loan application at MIDBANK requires 15 to 25 business days. A detailed time-and-motion analysis reveals that over 60% of this turnaround time is consumed by repetitive, error-prone manual tasks:</w:t>
      </w:r>
    </w:p>
    <w:p>
      <w:pPr>
        <w:pStyle w:val="ListParagraph"/>
        <w:numPr>
          <w:ilvl w:val="0"/>
          <w:numId w:val="1"/>
        </w:numPr>
        <w:spacing w:after="40" w:before="20" w:line="240"/>
      </w:pPr>
      <w:r>
        <w:rPr>
          <w:rFonts w:ascii="Calibri" w:cs="Calibri" w:eastAsia="Calibri" w:hAnsi="Calibri"/>
          <w:b/>
          <w:bCs/>
          <w:i w:val="false"/>
          <w:iCs w:val="false"/>
          <w:color w:val="1E293B"/>
          <w:sz w:val="21"/>
          <w:szCs w:val="21"/>
        </w:rPr>
        <w:t xml:space="preserve">Manual Financial Statement Spreading: </w:t>
      </w:r>
      <w:r>
        <w:rPr>
          <w:rFonts w:ascii="Calibri" w:cs="Calibri" w:eastAsia="Calibri" w:hAnsi="Calibri"/>
          <w:b w:val="false"/>
          <w:bCs w:val="false"/>
          <w:i w:val="false"/>
          <w:iCs w:val="false"/>
          <w:color w:val="1E293B"/>
          <w:sz w:val="21"/>
          <w:szCs w:val="21"/>
        </w:rPr>
        <w:t xml:space="preserve">Credit analysts spend 8 to 14 hours per applicant manually transcribing 3-year balance sheets, income statements, cash flows, and auditor notes from scanned Arabic and English PDF filings into Excel spread models.</w:t>
      </w:r>
    </w:p>
    <w:p>
      <w:pPr>
        <w:pStyle w:val="ListParagraph"/>
        <w:numPr>
          <w:ilvl w:val="0"/>
          <w:numId w:val="1"/>
        </w:numPr>
        <w:spacing w:after="40" w:before="20" w:line="240"/>
      </w:pPr>
      <w:r>
        <w:rPr>
          <w:rFonts w:ascii="Calibri" w:cs="Calibri" w:eastAsia="Calibri" w:hAnsi="Calibri"/>
          <w:b/>
          <w:bCs/>
          <w:i w:val="false"/>
          <w:iCs w:val="false"/>
          <w:color w:val="1E293B"/>
          <w:sz w:val="21"/>
          <w:szCs w:val="21"/>
        </w:rPr>
        <w:t xml:space="preserve">Credit Bureau &amp; Bureaucratic Reconciliation: </w:t>
      </w:r>
      <w:r>
        <w:rPr>
          <w:rFonts w:ascii="Calibri" w:cs="Calibri" w:eastAsia="Calibri" w:hAnsi="Calibri"/>
          <w:b w:val="false"/>
          <w:bCs w:val="false"/>
          <w:i w:val="false"/>
          <w:iCs w:val="false"/>
          <w:color w:val="1E293B"/>
          <w:sz w:val="21"/>
          <w:szCs w:val="21"/>
        </w:rPr>
        <w:t xml:space="preserve">Manually cross-referencing I-Score delinquency histories, tax records, and commercial registry documents.</w:t>
      </w:r>
    </w:p>
    <w:p>
      <w:pPr>
        <w:pStyle w:val="ListParagraph"/>
        <w:numPr>
          <w:ilvl w:val="0"/>
          <w:numId w:val="1"/>
        </w:numPr>
        <w:spacing w:after="40" w:before="20" w:line="240"/>
      </w:pPr>
      <w:r>
        <w:rPr>
          <w:rFonts w:ascii="Calibri" w:cs="Calibri" w:eastAsia="Calibri" w:hAnsi="Calibri"/>
          <w:b/>
          <w:bCs/>
          <w:i w:val="false"/>
          <w:iCs w:val="false"/>
          <w:color w:val="1E293B"/>
          <w:sz w:val="21"/>
          <w:szCs w:val="21"/>
        </w:rPr>
        <w:t xml:space="preserve">Regulatory Cap &amp; Policy Verification: </w:t>
      </w:r>
      <w:r>
        <w:rPr>
          <w:rFonts w:ascii="Calibri" w:cs="Calibri" w:eastAsia="Calibri" w:hAnsi="Calibri"/>
          <w:b w:val="false"/>
          <w:bCs w:val="false"/>
          <w:i w:val="false"/>
          <w:iCs w:val="false"/>
          <w:color w:val="1E293B"/>
          <w:sz w:val="21"/>
          <w:szCs w:val="21"/>
        </w:rPr>
        <w:t xml:space="preserve">Checking single-borrower exposure limits (15% individual / 20% connected group) and sector concentration rules against hundreds of active CBE circulars and internal policy charters.</w:t>
      </w:r>
    </w:p>
    <w:p>
      <w:pPr>
        <w:pStyle w:val="ListParagraph"/>
        <w:numPr>
          <w:ilvl w:val="0"/>
          <w:numId w:val="1"/>
        </w:numPr>
        <w:spacing w:after="40" w:before="20" w:line="240"/>
      </w:pPr>
      <w:r>
        <w:rPr>
          <w:rFonts w:ascii="Calibri" w:cs="Calibri" w:eastAsia="Calibri" w:hAnsi="Calibri"/>
          <w:b/>
          <w:bCs/>
          <w:i w:val="false"/>
          <w:iCs w:val="false"/>
          <w:color w:val="1E293B"/>
          <w:sz w:val="21"/>
          <w:szCs w:val="21"/>
        </w:rPr>
        <w:t xml:space="preserve">Customer Churn &amp; Loss of Deal Velocity: </w:t>
      </w:r>
      <w:r>
        <w:rPr>
          <w:rFonts w:ascii="Calibri" w:cs="Calibri" w:eastAsia="Calibri" w:hAnsi="Calibri"/>
          <w:b w:val="false"/>
          <w:bCs w:val="false"/>
          <w:i w:val="false"/>
          <w:iCs w:val="false"/>
          <w:color w:val="1E293B"/>
          <w:sz w:val="21"/>
          <w:szCs w:val="21"/>
        </w:rPr>
        <w:t xml:space="preserve">Because prime SME borrowers often solicit terms from multiple banks simultaneously, lengthy turnaround times lead to customer drop-off and lost net interest margin (NIM).</w:t>
      </w:r>
    </w:p>
    <w:p>
      <w:pPr>
        <w:spacing w:after="60" w:before="40" w:line="250"/>
        <w:jc w:val="left"/>
      </w:pPr>
      <w:r>
        <w:rPr>
          <w:rFonts w:ascii="Calibri" w:cs="Calibri" w:eastAsia="Calibri" w:hAnsi="Calibri"/>
          <w:b w:val="false"/>
          <w:bCs w:val="false"/>
          <w:i w:val="false"/>
          <w:iCs w:val="false"/>
          <w:color w:val="1E293B"/>
          <w:sz w:val="21"/>
          <w:szCs w:val="21"/>
        </w:rPr>
        <w:t xml:space="preserve">The table below contrasts the current manual operating baseline against the projected operational performance under the MIDBrain platform:</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tcW w:type="pct" w:w="22%"/>
            <w:tcBorders>
              <w:top w:val="single" w:color="CBD5E1" w:sz="6"/>
              <w:left w:val="single" w:color="CBD5E1" w:sz="6"/>
              <w:bottom w:val="single" w:color="CBD5E1" w:sz="12"/>
              <w:right w:val="single" w:color="CBD5E1" w:sz="6"/>
            </w:tcBorders>
            <w:shd w:fill="0B2545" w:val="clear"/>
            <w:tcMar>
              <w:top w:type="dxa" w:w="80"/>
              <w:left w:type="dxa" w:w="100"/>
              <w:bottom w:type="dxa" w:w="80"/>
              <w:right w:type="dxa" w:w="100"/>
            </w:tcMar>
          </w:tcPr>
          <w:p>
            <w:pPr>
              <w:spacing w:after="0" w:before="0"/>
              <w:jc w:val="center"/>
            </w:pPr>
            <w:r>
              <w:rPr>
                <w:rFonts w:ascii="Calibri" w:cs="Calibri" w:eastAsia="Calibri" w:hAnsi="Calibri"/>
                <w:b/>
                <w:bCs/>
                <w:color w:val="FFFFFF"/>
                <w:sz w:val="19"/>
                <w:szCs w:val="19"/>
              </w:rPr>
              <w:t xml:space="preserve">Operational Metric</w:t>
            </w:r>
          </w:p>
        </w:tc>
        <w:tc>
          <w:tcPr>
            <w:tcW w:type="pct" w:w="22%"/>
            <w:tcBorders>
              <w:top w:val="single" w:color="CBD5E1" w:sz="6"/>
              <w:left w:val="single" w:color="CBD5E1" w:sz="6"/>
              <w:bottom w:val="single" w:color="CBD5E1" w:sz="12"/>
              <w:right w:val="single" w:color="CBD5E1" w:sz="6"/>
            </w:tcBorders>
            <w:shd w:fill="0B2545" w:val="clear"/>
            <w:tcMar>
              <w:top w:type="dxa" w:w="80"/>
              <w:left w:type="dxa" w:w="100"/>
              <w:bottom w:type="dxa" w:w="80"/>
              <w:right w:type="dxa" w:w="100"/>
            </w:tcMar>
          </w:tcPr>
          <w:p>
            <w:pPr>
              <w:spacing w:after="0" w:before="0"/>
              <w:jc w:val="center"/>
            </w:pPr>
            <w:r>
              <w:rPr>
                <w:rFonts w:ascii="Calibri" w:cs="Calibri" w:eastAsia="Calibri" w:hAnsi="Calibri"/>
                <w:b/>
                <w:bCs/>
                <w:color w:val="FFFFFF"/>
                <w:sz w:val="19"/>
                <w:szCs w:val="19"/>
              </w:rPr>
              <w:t xml:space="preserve">Current Manual Baseline</w:t>
            </w:r>
          </w:p>
        </w:tc>
        <w:tc>
          <w:tcPr>
            <w:tcW w:type="pct" w:w="22%"/>
            <w:tcBorders>
              <w:top w:val="single" w:color="CBD5E1" w:sz="6"/>
              <w:left w:val="single" w:color="CBD5E1" w:sz="6"/>
              <w:bottom w:val="single" w:color="CBD5E1" w:sz="12"/>
              <w:right w:val="single" w:color="CBD5E1" w:sz="6"/>
            </w:tcBorders>
            <w:shd w:fill="0B2545" w:val="clear"/>
            <w:tcMar>
              <w:top w:type="dxa" w:w="80"/>
              <w:left w:type="dxa" w:w="100"/>
              <w:bottom w:type="dxa" w:w="80"/>
              <w:right w:type="dxa" w:w="100"/>
            </w:tcMar>
          </w:tcPr>
          <w:p>
            <w:pPr>
              <w:spacing w:after="0" w:before="0"/>
              <w:jc w:val="center"/>
            </w:pPr>
            <w:r>
              <w:rPr>
                <w:rFonts w:ascii="Calibri" w:cs="Calibri" w:eastAsia="Calibri" w:hAnsi="Calibri"/>
                <w:b/>
                <w:bCs/>
                <w:color w:val="FFFFFF"/>
                <w:sz w:val="19"/>
                <w:szCs w:val="19"/>
              </w:rPr>
              <w:t xml:space="preserve">Target with MIDBrain</w:t>
            </w:r>
          </w:p>
        </w:tc>
        <w:tc>
          <w:tcPr>
            <w:tcW w:type="pct" w:w="34%"/>
            <w:tcBorders>
              <w:top w:val="single" w:color="CBD5E1" w:sz="6"/>
              <w:left w:val="single" w:color="CBD5E1" w:sz="6"/>
              <w:bottom w:val="single" w:color="CBD5E1" w:sz="12"/>
              <w:right w:val="single" w:color="CBD5E1" w:sz="6"/>
            </w:tcBorders>
            <w:shd w:fill="0B2545" w:val="clear"/>
            <w:tcMar>
              <w:top w:type="dxa" w:w="80"/>
              <w:left w:type="dxa" w:w="100"/>
              <w:bottom w:type="dxa" w:w="80"/>
              <w:right w:type="dxa" w:w="100"/>
            </w:tcMar>
          </w:tcPr>
          <w:p>
            <w:pPr>
              <w:spacing w:after="0" w:before="0"/>
              <w:jc w:val="center"/>
            </w:pPr>
            <w:r>
              <w:rPr>
                <w:rFonts w:ascii="Calibri" w:cs="Calibri" w:eastAsia="Calibri" w:hAnsi="Calibri"/>
                <w:b/>
                <w:bCs/>
                <w:color w:val="FFFFFF"/>
                <w:sz w:val="19"/>
                <w:szCs w:val="19"/>
              </w:rPr>
              <w:t xml:space="preserve">Strategic Impact &amp; Business Benefit</w:t>
            </w:r>
          </w:p>
        </w:tc>
      </w:tr>
      <w:tr>
        <w:tc>
          <w:tcPr>
            <w:tcW w:type="pct" w:w="22%"/>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SME Financial Spreading Time</w:t>
            </w:r>
          </w:p>
        </w:tc>
        <w:tc>
          <w:tcPr>
            <w:tcW w:type="pct" w:w="22%"/>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8–12 hours per applicant</w:t>
            </w:r>
          </w:p>
        </w:tc>
        <w:tc>
          <w:tcPr>
            <w:tcW w:type="pct" w:w="22%"/>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&lt; 45 minutes / applicant</w:t>
            </w:r>
          </w:p>
        </w:tc>
        <w:tc>
          <w:tcPr>
            <w:tcW w:type="pct" w:w="3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90% reduction in analyst manual spreadsheet transcription</w:t>
            </w:r>
          </w:p>
        </w:tc>
      </w:tr>
      <w:tr>
        <w:tc>
          <w:tcPr>
            <w:tcW w:type="pct" w:w="22%"/>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End-to-End Credit Memo Turnaround</w:t>
            </w:r>
          </w:p>
        </w:tc>
        <w:tc>
          <w:tcPr>
            <w:tcW w:type="pct" w:w="22%"/>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18 business days</w:t>
            </w:r>
          </w:p>
        </w:tc>
        <w:tc>
          <w:tcPr>
            <w:tcW w:type="pct" w:w="22%"/>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4–5 business days</w:t>
            </w:r>
          </w:p>
        </w:tc>
        <w:tc>
          <w:tcPr>
            <w:tcW w:type="pct" w:w="34%"/>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72% velocity acceleration; eliminates borrower drop-off</w:t>
            </w:r>
          </w:p>
        </w:tc>
      </w:tr>
      <w:tr>
        <w:tc>
          <w:tcPr>
            <w:tcW w:type="pct" w:w="22%"/>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CBE Regulatory Query Resolution</w:t>
            </w:r>
          </w:p>
        </w:tc>
        <w:tc>
          <w:tcPr>
            <w:tcW w:type="pct" w:w="22%"/>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2–4 hours per complex query</w:t>
            </w:r>
          </w:p>
        </w:tc>
        <w:tc>
          <w:tcPr>
            <w:tcW w:type="pct" w:w="22%"/>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&lt; 30 seconds (100% cited)</w:t>
            </w:r>
          </w:p>
        </w:tc>
        <w:tc>
          <w:tcPr>
            <w:tcW w:type="pct" w:w="3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Zero compliance blind spots; instant audit trail</w:t>
            </w:r>
          </w:p>
        </w:tc>
      </w:tr>
      <w:tr>
        <w:tc>
          <w:tcPr>
            <w:tcW w:type="pct" w:w="22%"/>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SME Application Processing Capacity</w:t>
            </w:r>
          </w:p>
        </w:tc>
        <w:tc>
          <w:tcPr>
            <w:tcW w:type="pct" w:w="22%"/>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~40 files / analyst / year</w:t>
            </w:r>
          </w:p>
        </w:tc>
        <w:tc>
          <w:tcPr>
            <w:tcW w:type="pct" w:w="22%"/>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~120 files / analyst / year</w:t>
            </w:r>
          </w:p>
        </w:tc>
        <w:tc>
          <w:tcPr>
            <w:tcW w:type="pct" w:w="34%"/>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3x underwriting capacity without headcount expansion</w:t>
            </w:r>
          </w:p>
        </w:tc>
      </w:tr>
      <w:tr>
        <w:tc>
          <w:tcPr>
            <w:tcW w:type="pct" w:w="22%"/>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Cost-to-Income Ratio (CIR) Impact</w:t>
            </w:r>
          </w:p>
        </w:tc>
        <w:tc>
          <w:tcPr>
            <w:tcW w:type="pct" w:w="22%"/>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58.2% (Current baseline)</w:t>
            </w:r>
          </w:p>
        </w:tc>
        <w:tc>
          <w:tcPr>
            <w:tcW w:type="pct" w:w="22%"/>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52.4% (3-Year target)</w:t>
            </w:r>
          </w:p>
        </w:tc>
        <w:tc>
          <w:tcPr>
            <w:tcW w:type="pct" w:w="3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280–350 bps structural operational efficiency gain</w:t>
            </w:r>
          </w:p>
        </w:tc>
      </w:tr>
      <w:tr>
        <w:tc>
          <w:tcPr>
            <w:tcW w:type="pct" w:w="22%"/>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Data Residency &amp; Secrecy Fit</w:t>
            </w:r>
          </w:p>
        </w:tc>
        <w:tc>
          <w:tcPr>
            <w:tcW w:type="pct" w:w="22%"/>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Manual DocuShare DMS</w:t>
            </w:r>
          </w:p>
        </w:tc>
        <w:tc>
          <w:tcPr>
            <w:tcW w:type="pct" w:w="22%"/>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100% Sovereign On-Premises</w:t>
            </w:r>
          </w:p>
        </w:tc>
        <w:tc>
          <w:tcPr>
            <w:tcW w:type="pct" w:w="34%"/>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Strict compliance with CBE Law 194/2020 (Articles 140–143)</w:t>
            </w:r>
          </w:p>
        </w:tc>
      </w:tr>
    </w:tbl>
    <w:p>
      <w:pPr>
        <w:pStyle w:val="Heading1"/>
        <w:spacing w:after="100" w:before="280"/>
      </w:pPr>
      <w:r>
        <w:rPr>
          <w:rFonts w:ascii="Calibri" w:cs="Calibri" w:eastAsia="Calibri" w:hAnsi="Calibri"/>
          <w:b/>
          <w:bCs/>
          <w:color w:val="0B2545"/>
          <w:sz w:val="26"/>
          <w:szCs w:val="26"/>
        </w:rPr>
        <w:t xml:space="preserve">2. Platform Architecture &amp; Prioritized Use Cases</w:t>
      </w:r>
    </w:p>
    <w:p>
      <w:pPr>
        <w:spacing w:after="60" w:before="40" w:line="250"/>
        <w:jc w:val="left"/>
      </w:pPr>
      <w:r>
        <w:rPr>
          <w:rFonts w:ascii="Calibri" w:cs="Calibri" w:eastAsia="Calibri" w:hAnsi="Calibri"/>
          <w:b w:val="false"/>
          <w:bCs w:val="false"/>
          <w:i w:val="false"/>
          <w:iCs w:val="false"/>
          <w:color w:val="1E293B"/>
          <w:sz w:val="21"/>
          <w:szCs w:val="21"/>
        </w:rPr>
        <w:t xml:space="preserve">MIDBrain is designed as a modular, sovereign enterprise AI system deployed entirely within MIDBANK's primary datacenter. It combines deterministic data extraction algorithms with fine-tuned bilingual Large Language Models (LLMs) and local dense vector search to provide enterprise-grade accuracy, security, and explainability.</w:t>
      </w:r>
    </w:p>
    <w:p>
      <w:pPr>
        <w:pStyle w:val="Heading2"/>
        <w:spacing w:after="80" w:before="200"/>
      </w:pPr>
      <w:r>
        <w:rPr>
          <w:rFonts w:ascii="Calibri" w:cs="Calibri" w:eastAsia="Calibri" w:hAnsi="Calibri"/>
          <w:b/>
          <w:bCs/>
          <w:color w:val="B8860B"/>
          <w:sz w:val="21"/>
          <w:szCs w:val="21"/>
        </w:rPr>
        <w:t xml:space="preserve">2.1 Priority 1 (Wave 1 Quick-Win): MIDBrain Credit Underwriting Copilot</w:t>
      </w:r>
    </w:p>
    <w:p>
      <w:pPr>
        <w:spacing w:after="60" w:before="40" w:line="250"/>
        <w:jc w:val="left"/>
      </w:pPr>
      <w:r>
        <w:rPr>
          <w:rFonts w:ascii="Calibri" w:cs="Calibri" w:eastAsia="Calibri" w:hAnsi="Calibri"/>
          <w:b w:val="false"/>
          <w:bCs w:val="false"/>
          <w:i w:val="false"/>
          <w:iCs w:val="false"/>
          <w:color w:val="1E293B"/>
          <w:sz w:val="21"/>
          <w:szCs w:val="21"/>
        </w:rPr>
        <w:t xml:space="preserve">The Credit Underwriting Copilot acts as a specialized digital co-pilot for credit analysts and risk committees. Its workflow comprises four automated stages:</w:t>
      </w:r>
    </w:p>
    <w:p>
      <w:pPr>
        <w:pStyle w:val="ListParagraph"/>
        <w:numPr>
          <w:ilvl w:val="0"/>
          <w:numId w:val="1"/>
        </w:numPr>
        <w:spacing w:after="40" w:before="20" w:line="240"/>
      </w:pPr>
      <w:r>
        <w:rPr>
          <w:rFonts w:ascii="Calibri" w:cs="Calibri" w:eastAsia="Calibri" w:hAnsi="Calibri"/>
          <w:b/>
          <w:bCs/>
          <w:i w:val="false"/>
          <w:iCs w:val="false"/>
          <w:color w:val="1E293B"/>
          <w:sz w:val="21"/>
          <w:szCs w:val="21"/>
        </w:rPr>
        <w:t xml:space="preserve">1. Layout-Aware Arabic OCR &amp; Table Parsing: </w:t>
      </w:r>
      <w:r>
        <w:rPr>
          <w:rFonts w:ascii="Calibri" w:cs="Calibri" w:eastAsia="Calibri" w:hAnsi="Calibri"/>
          <w:b w:val="false"/>
          <w:bCs w:val="false"/>
          <w:i w:val="false"/>
          <w:iCs w:val="false"/>
          <w:color w:val="1E293B"/>
          <w:sz w:val="21"/>
          <w:szCs w:val="21"/>
        </w:rPr>
        <w:t xml:space="preserve">Ingests scanned multi-year audited financial statements (Egyptian Accounting Standards), tax cards, and commercial registry documents. Utilizes visual layout models (LayoutLMv3 / PP-Structure) to parse intricate Arabic balance sheets and footnotes without transcription errors.</w:t>
      </w:r>
    </w:p>
    <w:p>
      <w:pPr>
        <w:pStyle w:val="ListParagraph"/>
        <w:numPr>
          <w:ilvl w:val="0"/>
          <w:numId w:val="1"/>
        </w:numPr>
        <w:spacing w:after="40" w:before="20" w:line="240"/>
      </w:pPr>
      <w:r>
        <w:rPr>
          <w:rFonts w:ascii="Calibri" w:cs="Calibri" w:eastAsia="Calibri" w:hAnsi="Calibri"/>
          <w:b/>
          <w:bCs/>
          <w:i w:val="false"/>
          <w:iCs w:val="false"/>
          <w:color w:val="1E293B"/>
          <w:sz w:val="21"/>
          <w:szCs w:val="21"/>
        </w:rPr>
        <w:t xml:space="preserve">2. Deterministic Financial Spreading &amp; Ratio Computation: </w:t>
      </w:r>
      <w:r>
        <w:rPr>
          <w:rFonts w:ascii="Calibri" w:cs="Calibri" w:eastAsia="Calibri" w:hAnsi="Calibri"/>
          <w:b w:val="false"/>
          <w:bCs w:val="false"/>
          <w:i w:val="false"/>
          <w:iCs w:val="false"/>
          <w:color w:val="1E293B"/>
          <w:sz w:val="21"/>
          <w:szCs w:val="21"/>
        </w:rPr>
        <w:t xml:space="preserve">A hardened Python calculation engine computes historical trends, Debt Service Coverage Ratio (DSCR), Current Ratio, Quick Ratio, Debt-to-Equity, Cash Conversion Cycle, and Working Capital gaps with 100% mathematical precision and balance sheet reconciliation assertions (Assets = Liabilities + Equity).</w:t>
      </w:r>
    </w:p>
    <w:p>
      <w:pPr>
        <w:pStyle w:val="ListParagraph"/>
        <w:numPr>
          <w:ilvl w:val="0"/>
          <w:numId w:val="1"/>
        </w:numPr>
        <w:spacing w:after="40" w:before="20" w:line="240"/>
      </w:pPr>
      <w:r>
        <w:rPr>
          <w:rFonts w:ascii="Calibri" w:cs="Calibri" w:eastAsia="Calibri" w:hAnsi="Calibri"/>
          <w:b/>
          <w:bCs/>
          <w:i w:val="false"/>
          <w:iCs w:val="false"/>
          <w:color w:val="1E293B"/>
          <w:sz w:val="21"/>
          <w:szCs w:val="21"/>
        </w:rPr>
        <w:t xml:space="preserve">3. I-Score &amp; Prudential Limit Verification: </w:t>
      </w:r>
      <w:r>
        <w:rPr>
          <w:rFonts w:ascii="Calibri" w:cs="Calibri" w:eastAsia="Calibri" w:hAnsi="Calibri"/>
          <w:b w:val="false"/>
          <w:bCs w:val="false"/>
          <w:i w:val="false"/>
          <w:iCs w:val="false"/>
          <w:color w:val="1E293B"/>
          <w:sz w:val="21"/>
          <w:szCs w:val="21"/>
        </w:rPr>
        <w:t xml:space="preserve">Synthesizes I-Score credit bureau reports, flags historical days-past-due (DPD) events, and verifies compliance with CBE single-borrower and connected-group limits.</w:t>
      </w:r>
    </w:p>
    <w:p>
      <w:pPr>
        <w:pStyle w:val="ListParagraph"/>
        <w:numPr>
          <w:ilvl w:val="0"/>
          <w:numId w:val="1"/>
        </w:numPr>
        <w:spacing w:after="40" w:before="20" w:line="240"/>
      </w:pPr>
      <w:r>
        <w:rPr>
          <w:rFonts w:ascii="Calibri" w:cs="Calibri" w:eastAsia="Calibri" w:hAnsi="Calibri"/>
          <w:b/>
          <w:bCs/>
          <w:i w:val="false"/>
          <w:iCs w:val="false"/>
          <w:color w:val="1E293B"/>
          <w:sz w:val="21"/>
          <w:szCs w:val="21"/>
        </w:rPr>
        <w:t xml:space="preserve">4. Automated Credit Committee Memorandum Drafting: </w:t>
      </w:r>
      <w:r>
        <w:rPr>
          <w:rFonts w:ascii="Calibri" w:cs="Calibri" w:eastAsia="Calibri" w:hAnsi="Calibri"/>
          <w:b w:val="false"/>
          <w:bCs w:val="false"/>
          <w:i w:val="false"/>
          <w:iCs w:val="false"/>
          <w:color w:val="1E293B"/>
          <w:sz w:val="21"/>
          <w:szCs w:val="21"/>
        </w:rPr>
        <w:t xml:space="preserve">Pre-populates up to 70% of the standard MIDBANK Credit Memo (Executive Summary, Historical Financial Analysis, Working Capital Rationale, Risk Structure, and Proposed Covenants), allowing analysts to focus on qualitative borrower interviews and risk structuring.</w:t>
      </w:r>
    </w:p>
    <w:p>
      <w:pPr>
        <w:pStyle w:val="Heading2"/>
        <w:spacing w:after="80" w:before="200"/>
      </w:pPr>
      <w:r>
        <w:rPr>
          <w:rFonts w:ascii="Calibri" w:cs="Calibri" w:eastAsia="Calibri" w:hAnsi="Calibri"/>
          <w:b/>
          <w:bCs/>
          <w:color w:val="B8860B"/>
          <w:sz w:val="21"/>
          <w:szCs w:val="21"/>
        </w:rPr>
        <w:t xml:space="preserve">2.2 Priority 2 (Wave 2 Core): CBE Regulatory Compliance &amp; Policy Advisor</w:t>
      </w:r>
    </w:p>
    <w:p>
      <w:pPr>
        <w:spacing w:after="60" w:before="40" w:line="250"/>
        <w:jc w:val="left"/>
      </w:pPr>
      <w:r>
        <w:rPr>
          <w:rFonts w:ascii="Calibri" w:cs="Calibri" w:eastAsia="Calibri" w:hAnsi="Calibri"/>
          <w:b w:val="false"/>
          <w:bCs w:val="false"/>
          <w:i w:val="false"/>
          <w:iCs w:val="false"/>
          <w:color w:val="1E293B"/>
          <w:sz w:val="21"/>
          <w:szCs w:val="21"/>
        </w:rPr>
        <w:t xml:space="preserve">Commercial banks in Egypt navigate over 300+ active CBE circulars, Basel III directives, IFRS 9 ECL mandates, and internal bank charters. The CBE Regulatory Advisor provides:</w:t>
      </w:r>
    </w:p>
    <w:p>
      <w:pPr>
        <w:pStyle w:val="ListParagraph"/>
        <w:numPr>
          <w:ilvl w:val="0"/>
          <w:numId w:val="1"/>
        </w:numPr>
        <w:spacing w:after="40" w:before="20" w:line="240"/>
      </w:pPr>
      <w:r>
        <w:rPr>
          <w:rFonts w:ascii="Calibri" w:cs="Calibri" w:eastAsia="Calibri" w:hAnsi="Calibri"/>
          <w:b/>
          <w:bCs/>
          <w:i w:val="false"/>
          <w:iCs w:val="false"/>
          <w:color w:val="1E293B"/>
          <w:sz w:val="21"/>
          <w:szCs w:val="21"/>
        </w:rPr>
        <w:t xml:space="preserve">Exact Citation Grounding: </w:t>
      </w:r>
      <w:r>
        <w:rPr>
          <w:rFonts w:ascii="Calibri" w:cs="Calibri" w:eastAsia="Calibri" w:hAnsi="Calibri"/>
          <w:b w:val="false"/>
          <w:bCs w:val="false"/>
          <w:i w:val="false"/>
          <w:iCs w:val="false"/>
          <w:color w:val="1E293B"/>
          <w:sz w:val="21"/>
          <w:szCs w:val="21"/>
        </w:rPr>
        <w:t xml:space="preserve">Every generated answer cites the specific CBE circular title, date, circular number, and exact paragraph with zero hallucination.</w:t>
      </w:r>
    </w:p>
    <w:p>
      <w:pPr>
        <w:pStyle w:val="ListParagraph"/>
        <w:numPr>
          <w:ilvl w:val="0"/>
          <w:numId w:val="1"/>
        </w:numPr>
        <w:spacing w:after="40" w:before="20" w:line="240"/>
      </w:pPr>
      <w:r>
        <w:rPr>
          <w:rFonts w:ascii="Calibri" w:cs="Calibri" w:eastAsia="Calibri" w:hAnsi="Calibri"/>
          <w:b/>
          <w:bCs/>
          <w:i w:val="false"/>
          <w:iCs w:val="false"/>
          <w:color w:val="1E293B"/>
          <w:sz w:val="21"/>
          <w:szCs w:val="21"/>
        </w:rPr>
        <w:t xml:space="preserve">Temporal Validity Awareness: </w:t>
      </w:r>
      <w:r>
        <w:rPr>
          <w:rFonts w:ascii="Calibri" w:cs="Calibri" w:eastAsia="Calibri" w:hAnsi="Calibri"/>
          <w:b w:val="false"/>
          <w:bCs w:val="false"/>
          <w:i w:val="false"/>
          <w:iCs w:val="false"/>
          <w:color w:val="1E293B"/>
          <w:sz w:val="21"/>
          <w:szCs w:val="21"/>
        </w:rPr>
        <w:t xml:space="preserve">Automatically identifies and flags superseded circulars, ensuring compliance officers always base decisions on active regulations.</w:t>
      </w:r>
    </w:p>
    <w:p>
      <w:pPr>
        <w:pStyle w:val="ListParagraph"/>
        <w:numPr>
          <w:ilvl w:val="0"/>
          <w:numId w:val="1"/>
        </w:numPr>
        <w:spacing w:after="40" w:before="20" w:line="240"/>
      </w:pPr>
      <w:r>
        <w:rPr>
          <w:rFonts w:ascii="Calibri" w:cs="Calibri" w:eastAsia="Calibri" w:hAnsi="Calibri"/>
          <w:b/>
          <w:bCs/>
          <w:i w:val="false"/>
          <w:iCs w:val="false"/>
          <w:color w:val="1E293B"/>
          <w:sz w:val="21"/>
          <w:szCs w:val="21"/>
        </w:rPr>
        <w:t xml:space="preserve">Bilingual Egyptian Banking Terminology: </w:t>
      </w:r>
      <w:r>
        <w:rPr>
          <w:rFonts w:ascii="Calibri" w:cs="Calibri" w:eastAsia="Calibri" w:hAnsi="Calibri"/>
          <w:b w:val="false"/>
          <w:bCs w:val="false"/>
          <w:i w:val="false"/>
          <w:iCs w:val="false"/>
          <w:color w:val="1E293B"/>
          <w:sz w:val="21"/>
          <w:szCs w:val="21"/>
        </w:rPr>
        <w:t xml:space="preserve">Fluent in both formal Arabic banking legal phrasing ('معايير كفاية رأس المال', 'التركز الائتماني', 'المخصصات الائتمانية') and international banking English.</w:t>
      </w:r>
    </w:p>
    <w:p>
      <w:pPr>
        <w:pStyle w:val="Heading2"/>
        <w:spacing w:after="80" w:before="200"/>
      </w:pPr>
      <w:r>
        <w:rPr>
          <w:rFonts w:ascii="Calibri" w:cs="Calibri" w:eastAsia="Calibri" w:hAnsi="Calibri"/>
          <w:b/>
          <w:bCs/>
          <w:color w:val="B8860B"/>
          <w:sz w:val="21"/>
          <w:szCs w:val="21"/>
        </w:rPr>
        <w:t xml:space="preserve">2.3 Wave 3 Horizon: AML Anomaly Screening &amp; Frontline RM Copilot</w:t>
      </w:r>
    </w:p>
    <w:p>
      <w:pPr>
        <w:spacing w:after="60" w:before="40" w:line="250"/>
        <w:jc w:val="left"/>
      </w:pPr>
      <w:r>
        <w:rPr>
          <w:rFonts w:ascii="Calibri" w:cs="Calibri" w:eastAsia="Calibri" w:hAnsi="Calibri"/>
          <w:b w:val="false"/>
          <w:bCs w:val="false"/>
          <w:i w:val="false"/>
          <w:iCs w:val="false"/>
          <w:color w:val="1E293B"/>
          <w:sz w:val="21"/>
          <w:szCs w:val="21"/>
        </w:rPr>
        <w:t xml:space="preserve">Following the deployment of the sovereign compute cluster, Wave 3 will introduce graph-based AML transaction monitoring to reduce false-positive alerts by 45% and a mobile/tablet advisory copilot for branch Relationship Managers to accelerate retail cross-selling.</w:t>
      </w:r>
    </w:p>
    <w:p>
      <w:pPr>
        <w:pStyle w:val="Heading1"/>
        <w:spacing w:after="100" w:before="280"/>
      </w:pPr>
      <w:r>
        <w:rPr>
          <w:rFonts w:ascii="Calibri" w:cs="Calibri" w:eastAsia="Calibri" w:hAnsi="Calibri"/>
          <w:b/>
          <w:bCs/>
          <w:color w:val="0B2545"/>
          <w:sz w:val="26"/>
          <w:szCs w:val="26"/>
        </w:rPr>
        <w:t xml:space="preserve">3. Sovereign Technical Architecture &amp; Infrastructure Sizing</w:t>
      </w:r>
    </w:p>
    <w:p>
      <w:pPr>
        <w:spacing w:after="60" w:before="40" w:line="250"/>
        <w:jc w:val="left"/>
      </w:pPr>
      <w:r>
        <w:rPr>
          <w:rFonts w:ascii="Calibri" w:cs="Calibri" w:eastAsia="Calibri" w:hAnsi="Calibri"/>
          <w:b w:val="false"/>
          <w:bCs w:val="false"/>
          <w:i w:val="false"/>
          <w:iCs w:val="false"/>
          <w:color w:val="1E293B"/>
          <w:sz w:val="21"/>
          <w:szCs w:val="21"/>
        </w:rPr>
        <w:t xml:space="preserve">Under Article 140 of Central Bank of Egypt Law No. 194 of 2020 and CBE Cybersecurity Guidelines, customer financial figures, credit histories, and account balances are strictly classified as confidential banking data. Multi-tenant public cloud LLMs (e.g., public OpenAI, Anthropic, or offshore API endpoints) are legally non-compliant for core banking operations.</w:t>
      </w:r>
    </w:p>
    <w:p>
      <w:pPr>
        <w:pStyle w:val="Heading2"/>
        <w:spacing w:after="80" w:before="200"/>
      </w:pPr>
      <w:r>
        <w:rPr>
          <w:rFonts w:ascii="Calibri" w:cs="Calibri" w:eastAsia="Calibri" w:hAnsi="Calibri"/>
          <w:b/>
          <w:bCs/>
          <w:color w:val="B8860B"/>
          <w:sz w:val="21"/>
          <w:szCs w:val="21"/>
        </w:rPr>
        <w:t xml:space="preserve">3.1 Recommended Infrastructure: Sovereign On-Premises Cluster (Option C)</w:t>
      </w:r>
    </w:p>
    <w:p>
      <w:pPr>
        <w:spacing w:after="60" w:before="40" w:line="250"/>
        <w:jc w:val="left"/>
      </w:pPr>
      <w:r>
        <w:rPr>
          <w:rFonts w:ascii="Calibri" w:cs="Calibri" w:eastAsia="Calibri" w:hAnsi="Calibri"/>
          <w:b w:val="false"/>
          <w:bCs w:val="false"/>
          <w:i w:val="false"/>
          <w:iCs w:val="false"/>
          <w:color w:val="1E293B"/>
          <w:sz w:val="21"/>
          <w:szCs w:val="21"/>
        </w:rPr>
        <w:t xml:space="preserve">MIDBrain will be hosted in MIDBANK's secure Primary Datacenter in Cairo within an isolated, air-gapped server rack:</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W w:type="pct" w:w="24%"/>
            <w:tcBorders>
              <w:top w:val="single" w:color="CBD5E1" w:sz="6"/>
              <w:left w:val="single" w:color="CBD5E1" w:sz="6"/>
              <w:bottom w:val="single" w:color="CBD5E1" w:sz="12"/>
              <w:right w:val="single" w:color="CBD5E1" w:sz="6"/>
            </w:tcBorders>
            <w:shd w:fill="0B2545" w:val="clear"/>
            <w:tcMar>
              <w:top w:type="dxa" w:w="80"/>
              <w:left w:type="dxa" w:w="100"/>
              <w:bottom w:type="dxa" w:w="80"/>
              <w:right w:type="dxa" w:w="100"/>
            </w:tcMar>
          </w:tcPr>
          <w:p>
            <w:pPr>
              <w:spacing w:after="0" w:before="0"/>
              <w:jc w:val="center"/>
            </w:pPr>
            <w:r>
              <w:rPr>
                <w:rFonts w:ascii="Calibri" w:cs="Calibri" w:eastAsia="Calibri" w:hAnsi="Calibri"/>
                <w:b/>
                <w:bCs/>
                <w:color w:val="FFFFFF"/>
                <w:sz w:val="19"/>
                <w:szCs w:val="19"/>
              </w:rPr>
              <w:t xml:space="preserve">Architecture Component</w:t>
            </w:r>
          </w:p>
        </w:tc>
        <w:tc>
          <w:tcPr>
            <w:tcW w:type="pct" w:w="46%"/>
            <w:tcBorders>
              <w:top w:val="single" w:color="CBD5E1" w:sz="6"/>
              <w:left w:val="single" w:color="CBD5E1" w:sz="6"/>
              <w:bottom w:val="single" w:color="CBD5E1" w:sz="12"/>
              <w:right w:val="single" w:color="CBD5E1" w:sz="6"/>
            </w:tcBorders>
            <w:shd w:fill="0B2545" w:val="clear"/>
            <w:tcMar>
              <w:top w:type="dxa" w:w="80"/>
              <w:left w:type="dxa" w:w="100"/>
              <w:bottom w:type="dxa" w:w="80"/>
              <w:right w:type="dxa" w:w="100"/>
            </w:tcMar>
          </w:tcPr>
          <w:p>
            <w:pPr>
              <w:spacing w:after="0" w:before="0"/>
              <w:jc w:val="center"/>
            </w:pPr>
            <w:r>
              <w:rPr>
                <w:rFonts w:ascii="Calibri" w:cs="Calibri" w:eastAsia="Calibri" w:hAnsi="Calibri"/>
                <w:b/>
                <w:bCs/>
                <w:color w:val="FFFFFF"/>
                <w:sz w:val="19"/>
                <w:szCs w:val="19"/>
              </w:rPr>
              <w:t xml:space="preserve">Technical Specification</w:t>
            </w:r>
          </w:p>
        </w:tc>
        <w:tc>
          <w:tcPr>
            <w:tcW w:type="pct" w:w="30%"/>
            <w:tcBorders>
              <w:top w:val="single" w:color="CBD5E1" w:sz="6"/>
              <w:left w:val="single" w:color="CBD5E1" w:sz="6"/>
              <w:bottom w:val="single" w:color="CBD5E1" w:sz="12"/>
              <w:right w:val="single" w:color="CBD5E1" w:sz="6"/>
            </w:tcBorders>
            <w:shd w:fill="0B2545" w:val="clear"/>
            <w:tcMar>
              <w:top w:type="dxa" w:w="80"/>
              <w:left w:type="dxa" w:w="100"/>
              <w:bottom w:type="dxa" w:w="80"/>
              <w:right w:type="dxa" w:w="100"/>
            </w:tcMar>
          </w:tcPr>
          <w:p>
            <w:pPr>
              <w:spacing w:after="0" w:before="0"/>
              <w:jc w:val="center"/>
            </w:pPr>
            <w:r>
              <w:rPr>
                <w:rFonts w:ascii="Calibri" w:cs="Calibri" w:eastAsia="Calibri" w:hAnsi="Calibri"/>
                <w:b/>
                <w:bCs/>
                <w:color w:val="FFFFFF"/>
                <w:sz w:val="19"/>
                <w:szCs w:val="19"/>
              </w:rPr>
              <w:t xml:space="preserve">Operational Function</w:t>
            </w:r>
          </w:p>
        </w:tc>
      </w:tr>
      <w:tr>
        <w:tc>
          <w:tcPr>
            <w:tcW w:type="pct" w:w="2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Compute Server Chassis</w:t>
            </w:r>
          </w:p>
        </w:tc>
        <w:tc>
          <w:tcPr>
            <w:tcW w:type="pct" w:w="46%"/>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Dell PowerEdge R760xa / HPE DL380a Gen11 (2U)</w:t>
            </w:r>
          </w:p>
        </w:tc>
        <w:tc>
          <w:tcPr>
            <w:tcW w:type="pct" w:w="30%"/>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Dual-socket high-density AI enterprise server</w:t>
            </w:r>
          </w:p>
        </w:tc>
      </w:tr>
      <w:tr>
        <w:tc>
          <w:tcPr>
            <w:tcW w:type="pct" w:w="24%"/>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Enterprise GPUs</w:t>
            </w:r>
          </w:p>
        </w:tc>
        <w:tc>
          <w:tcPr>
            <w:tcW w:type="pct" w:w="46%"/>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2x NVIDIA L40S (48GB GDDR6 each = 96GB Total VRAM)</w:t>
            </w:r>
          </w:p>
        </w:tc>
        <w:tc>
          <w:tcPr>
            <w:tcW w:type="pct" w:w="30%"/>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High-throughput sovereign LLM inference &amp; Arabic OCR</w:t>
            </w:r>
          </w:p>
        </w:tc>
      </w:tr>
      <w:tr>
        <w:tc>
          <w:tcPr>
            <w:tcW w:type="pct" w:w="2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Processors &amp; Memory</w:t>
            </w:r>
          </w:p>
        </w:tc>
        <w:tc>
          <w:tcPr>
            <w:tcW w:type="pct" w:w="46%"/>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2x Intel Xeon Gold 6430 (64 Cores) + 512GB DDR5 ECC</w:t>
            </w:r>
          </w:p>
        </w:tc>
        <w:tc>
          <w:tcPr>
            <w:tcW w:type="pct" w:w="30%"/>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Concurrent financial parsing &amp; vector embedding</w:t>
            </w:r>
          </w:p>
        </w:tc>
      </w:tr>
      <w:tr>
        <w:tc>
          <w:tcPr>
            <w:tcW w:type="pct" w:w="24%"/>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NVMe High-Speed Storage</w:t>
            </w:r>
          </w:p>
        </w:tc>
        <w:tc>
          <w:tcPr>
            <w:tcW w:type="pct" w:w="46%"/>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4x 3.84TB Enterprise NVMe SSD in RAID 10 (~7.6TB usable)</w:t>
            </w:r>
          </w:p>
        </w:tc>
        <w:tc>
          <w:tcPr>
            <w:tcW w:type="pct" w:w="30%"/>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Ultra-low-latency local model weights &amp; vector storage</w:t>
            </w:r>
          </w:p>
        </w:tc>
      </w:tr>
      <w:tr>
        <w:tc>
          <w:tcPr>
            <w:tcW w:type="pct" w:w="2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Local Vector Database</w:t>
            </w:r>
          </w:p>
        </w:tc>
        <w:tc>
          <w:tcPr>
            <w:tcW w:type="pct" w:w="46%"/>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Qdrant Enterprise / Milvus (Self-Hosted On-Prem)</w:t>
            </w:r>
          </w:p>
        </w:tc>
        <w:tc>
          <w:tcPr>
            <w:tcW w:type="pct" w:w="30%"/>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Sub-50ms hybrid dense-lexical semantic search</w:t>
            </w:r>
          </w:p>
        </w:tc>
      </w:tr>
      <w:tr>
        <w:tc>
          <w:tcPr>
            <w:tcW w:type="pct" w:w="24%"/>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Inference Serving Engine</w:t>
            </w:r>
          </w:p>
        </w:tc>
        <w:tc>
          <w:tcPr>
            <w:tcW w:type="pct" w:w="46%"/>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vLLM / NVIDIA Triton with FP8 / AWQ Quantization</w:t>
            </w:r>
          </w:p>
        </w:tc>
        <w:tc>
          <w:tcPr>
            <w:tcW w:type="pct" w:w="30%"/>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Bilingual Llama-3-70B / 8B sovereign inference</w:t>
            </w:r>
          </w:p>
        </w:tc>
      </w:tr>
      <w:tr>
        <w:tc>
          <w:tcPr>
            <w:tcW w:type="pct" w:w="2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Network &amp; Security</w:t>
            </w:r>
          </w:p>
        </w:tc>
        <w:tc>
          <w:tcPr>
            <w:tcW w:type="pct" w:w="46%"/>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Dual 25GbE SFP28 links; Zero Outbound Internet Access</w:t>
            </w:r>
          </w:p>
        </w:tc>
        <w:tc>
          <w:tcPr>
            <w:tcW w:type="pct" w:w="30%"/>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Complete air-gap isolation; CBE Law 194/2020 compliance</w:t>
            </w:r>
          </w:p>
        </w:tc>
      </w:tr>
    </w:tbl>
    <w:p>
      <w:pPr>
        <w:pStyle w:val="Heading2"/>
        <w:spacing w:after="80" w:before="200"/>
      </w:pPr>
      <w:r>
        <w:rPr>
          <w:rFonts w:ascii="Calibri" w:cs="Calibri" w:eastAsia="Calibri" w:hAnsi="Calibri"/>
          <w:b/>
          <w:bCs/>
          <w:color w:val="B8860B"/>
          <w:sz w:val="21"/>
          <w:szCs w:val="21"/>
        </w:rPr>
        <w:t xml:space="preserve">3.2 3-Year Total Cost of Ownership (TCO) Comparison</w:t>
      </w:r>
    </w:p>
    <w:p>
      <w:pPr>
        <w:spacing w:after="60" w:before="40" w:line="250"/>
        <w:jc w:val="left"/>
      </w:pPr>
      <w:r>
        <w:rPr>
          <w:rFonts w:ascii="Calibri" w:cs="Calibri" w:eastAsia="Calibri" w:hAnsi="Calibri"/>
          <w:b w:val="false"/>
          <w:bCs w:val="false"/>
          <w:i w:val="false"/>
          <w:iCs w:val="false"/>
          <w:color w:val="1E293B"/>
          <w:sz w:val="21"/>
          <w:szCs w:val="21"/>
        </w:rPr>
        <w:t xml:space="preserve">To evaluate financial efficiency, three infrastructure deployment models were assessed across a 36-month horizon:</w:t>
      </w:r>
    </w:p>
    <w:p>
      <w:pPr>
        <w:pStyle w:val="ListParagraph"/>
        <w:numPr>
          <w:ilvl w:val="0"/>
          <w:numId w:val="1"/>
        </w:numPr>
        <w:spacing w:after="40" w:before="20" w:line="240"/>
      </w:pPr>
      <w:r>
        <w:rPr>
          <w:rFonts w:ascii="Calibri" w:cs="Calibri" w:eastAsia="Calibri" w:hAnsi="Calibri"/>
          <w:b/>
          <w:bCs/>
          <w:i w:val="false"/>
          <w:iCs w:val="false"/>
          <w:color w:val="1E293B"/>
          <w:sz w:val="21"/>
          <w:szCs w:val="21"/>
        </w:rPr>
        <w:t xml:space="preserve">Option A (Sovereign Cloud Rental): </w:t>
      </w:r>
      <w:r>
        <w:rPr>
          <w:rFonts w:ascii="Calibri" w:cs="Calibri" w:eastAsia="Calibri" w:hAnsi="Calibri"/>
          <w:b w:val="false"/>
          <w:bCs w:val="false"/>
          <w:i w:val="false"/>
          <w:iCs w:val="false"/>
          <w:color w:val="1E293B"/>
          <w:sz w:val="21"/>
          <w:szCs w:val="21"/>
        </w:rPr>
        <w:t xml:space="preserve">Dedicated private GPU node hosted in Egypt. Low Year-1 CapEx (EGP 520k) but recurring OpEx leading to a 3-Year TCO of EGP 1.48M, with significant CBE third-party audit friction.</w:t>
      </w:r>
    </w:p>
    <w:p>
      <w:pPr>
        <w:pStyle w:val="ListParagraph"/>
        <w:numPr>
          <w:ilvl w:val="0"/>
          <w:numId w:val="1"/>
        </w:numPr>
        <w:spacing w:after="40" w:before="20" w:line="240"/>
      </w:pPr>
      <w:r>
        <w:rPr>
          <w:rFonts w:ascii="Calibri" w:cs="Calibri" w:eastAsia="Calibri" w:hAnsi="Calibri"/>
          <w:b/>
          <w:bCs/>
          <w:i w:val="false"/>
          <w:iCs w:val="false"/>
          <w:color w:val="1E293B"/>
          <w:sz w:val="21"/>
          <w:szCs w:val="21"/>
        </w:rPr>
        <w:t xml:space="preserve">Option B (Cairo Tier-III Colocation): </w:t>
      </w:r>
      <w:r>
        <w:rPr>
          <w:rFonts w:ascii="Calibri" w:cs="Calibri" w:eastAsia="Calibri" w:hAnsi="Calibri"/>
          <w:b w:val="false"/>
          <w:bCs w:val="false"/>
          <w:i w:val="false"/>
          <w:iCs w:val="false"/>
          <w:color w:val="1E293B"/>
          <w:sz w:val="21"/>
          <w:szCs w:val="21"/>
        </w:rPr>
        <w:t xml:space="preserve">Bank-owned hardware housed in a commercial facility (Telecom Egypt / Orange DC). 3-Year TCO of EGP 2.55M.</w:t>
      </w:r>
    </w:p>
    <w:p>
      <w:pPr>
        <w:pStyle w:val="ListParagraph"/>
        <w:numPr>
          <w:ilvl w:val="0"/>
          <w:numId w:val="1"/>
        </w:numPr>
        <w:spacing w:after="40" w:before="20" w:line="240"/>
      </w:pPr>
      <w:r>
        <w:rPr>
          <w:rFonts w:ascii="Calibri" w:cs="Calibri" w:eastAsia="Calibri" w:hAnsi="Calibri"/>
          <w:b/>
          <w:bCs/>
          <w:i w:val="false"/>
          <w:iCs w:val="false"/>
          <w:color w:val="1E293B"/>
          <w:sz w:val="21"/>
          <w:szCs w:val="21"/>
        </w:rPr>
        <w:t xml:space="preserve">Option C (Sovereign On-Premises Datacenter — Recommended): </w:t>
      </w:r>
      <w:r>
        <w:rPr>
          <w:rFonts w:ascii="Calibri" w:cs="Calibri" w:eastAsia="Calibri" w:hAnsi="Calibri"/>
          <w:b w:val="false"/>
          <w:bCs w:val="false"/>
          <w:i w:val="false"/>
          <w:iCs w:val="false"/>
          <w:color w:val="1E293B"/>
          <w:sz w:val="21"/>
          <w:szCs w:val="21"/>
        </w:rPr>
        <w:t xml:space="preserve">Hardware installed directly in MIDBANK's server room. 3-Year TCO of EGP 3.45M (Year 1 CapEx/OpEx: EGP 2.70M; Year 2/3 OpEx: EGP 375k/year). Delivers permanent asset equity, sub-millisecond core banking latency, and absolute CBE banking secrecy compliance.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tcW w:type="pct" w:w="28%"/>
            <w:tcBorders>
              <w:top w:val="single" w:color="CBD5E1" w:sz="6"/>
              <w:left w:val="single" w:color="CBD5E1" w:sz="6"/>
              <w:bottom w:val="single" w:color="CBD5E1" w:sz="12"/>
              <w:right w:val="single" w:color="CBD5E1" w:sz="6"/>
            </w:tcBorders>
            <w:shd w:fill="0B2545" w:val="clear"/>
            <w:tcMar>
              <w:top w:type="dxa" w:w="80"/>
              <w:left w:type="dxa" w:w="100"/>
              <w:bottom w:type="dxa" w:w="80"/>
              <w:right w:type="dxa" w:w="100"/>
            </w:tcMar>
          </w:tcPr>
          <w:p>
            <w:pPr>
              <w:spacing w:after="0" w:before="0"/>
              <w:jc w:val="center"/>
            </w:pPr>
            <w:r>
              <w:rPr>
                <w:rFonts w:ascii="Calibri" w:cs="Calibri" w:eastAsia="Calibri" w:hAnsi="Calibri"/>
                <w:b/>
                <w:bCs/>
                <w:color w:val="FFFFFF"/>
                <w:sz w:val="19"/>
                <w:szCs w:val="19"/>
              </w:rPr>
              <w:t xml:space="preserve">Cost Breakdown (EGP)</w:t>
            </w:r>
          </w:p>
        </w:tc>
        <w:tc>
          <w:tcPr>
            <w:tcW w:type="pct" w:w="24%"/>
            <w:tcBorders>
              <w:top w:val="single" w:color="CBD5E1" w:sz="6"/>
              <w:left w:val="single" w:color="CBD5E1" w:sz="6"/>
              <w:bottom w:val="single" w:color="CBD5E1" w:sz="12"/>
              <w:right w:val="single" w:color="CBD5E1" w:sz="6"/>
            </w:tcBorders>
            <w:shd w:fill="0B2545" w:val="clear"/>
            <w:tcMar>
              <w:top w:type="dxa" w:w="80"/>
              <w:left w:type="dxa" w:w="100"/>
              <w:bottom w:type="dxa" w:w="80"/>
              <w:right w:type="dxa" w:w="100"/>
            </w:tcMar>
          </w:tcPr>
          <w:p>
            <w:pPr>
              <w:spacing w:after="0" w:before="0"/>
              <w:jc w:val="center"/>
            </w:pPr>
            <w:r>
              <w:rPr>
                <w:rFonts w:ascii="Calibri" w:cs="Calibri" w:eastAsia="Calibri" w:hAnsi="Calibri"/>
                <w:b/>
                <w:bCs/>
                <w:color w:val="FFFFFF"/>
                <w:sz w:val="19"/>
                <w:szCs w:val="19"/>
              </w:rPr>
              <w:t xml:space="preserve">Option A: Cloud Rental</w:t>
            </w:r>
          </w:p>
        </w:tc>
        <w:tc>
          <w:tcPr>
            <w:tcW w:type="pct" w:w="24%"/>
            <w:tcBorders>
              <w:top w:val="single" w:color="CBD5E1" w:sz="6"/>
              <w:left w:val="single" w:color="CBD5E1" w:sz="6"/>
              <w:bottom w:val="single" w:color="CBD5E1" w:sz="12"/>
              <w:right w:val="single" w:color="CBD5E1" w:sz="6"/>
            </w:tcBorders>
            <w:shd w:fill="0B2545" w:val="clear"/>
            <w:tcMar>
              <w:top w:type="dxa" w:w="80"/>
              <w:left w:type="dxa" w:w="100"/>
              <w:bottom w:type="dxa" w:w="80"/>
              <w:right w:type="dxa" w:w="100"/>
            </w:tcMar>
          </w:tcPr>
          <w:p>
            <w:pPr>
              <w:spacing w:after="0" w:before="0"/>
              <w:jc w:val="center"/>
            </w:pPr>
            <w:r>
              <w:rPr>
                <w:rFonts w:ascii="Calibri" w:cs="Calibri" w:eastAsia="Calibri" w:hAnsi="Calibri"/>
                <w:b/>
                <w:bCs/>
                <w:color w:val="FFFFFF"/>
                <w:sz w:val="19"/>
                <w:szCs w:val="19"/>
              </w:rPr>
              <w:t xml:space="preserve">Option B: Colocation</w:t>
            </w:r>
          </w:p>
        </w:tc>
        <w:tc>
          <w:tcPr>
            <w:tcW w:type="pct" w:w="24%"/>
            <w:tcBorders>
              <w:top w:val="single" w:color="CBD5E1" w:sz="6"/>
              <w:left w:val="single" w:color="CBD5E1" w:sz="6"/>
              <w:bottom w:val="single" w:color="CBD5E1" w:sz="12"/>
              <w:right w:val="single" w:color="CBD5E1" w:sz="6"/>
            </w:tcBorders>
            <w:shd w:fill="0B2545" w:val="clear"/>
            <w:tcMar>
              <w:top w:type="dxa" w:w="80"/>
              <w:left w:type="dxa" w:w="100"/>
              <w:bottom w:type="dxa" w:w="80"/>
              <w:right w:type="dxa" w:w="100"/>
            </w:tcMar>
          </w:tcPr>
          <w:p>
            <w:pPr>
              <w:spacing w:after="0" w:before="0"/>
              <w:jc w:val="center"/>
            </w:pPr>
            <w:r>
              <w:rPr>
                <w:rFonts w:ascii="Calibri" w:cs="Calibri" w:eastAsia="Calibri" w:hAnsi="Calibri"/>
                <w:b/>
                <w:bCs/>
                <w:color w:val="FFFFFF"/>
                <w:sz w:val="19"/>
                <w:szCs w:val="19"/>
              </w:rPr>
              <w:t xml:space="preserve">Option C: On-Premises (Rec.)</w:t>
            </w:r>
          </w:p>
        </w:tc>
      </w:tr>
      <w:tr>
        <w:tc>
          <w:tcPr>
            <w:tcW w:type="pct" w:w="28%"/>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Hardware &amp; Compute CapEx</w:t>
            </w:r>
          </w:p>
        </w:tc>
        <w:tc>
          <w:tcPr>
            <w:tcW w:type="pct" w:w="2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0</w:t>
            </w:r>
          </w:p>
        </w:tc>
        <w:tc>
          <w:tcPr>
            <w:tcW w:type="pct" w:w="2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1,350,000</w:t>
            </w:r>
          </w:p>
        </w:tc>
        <w:tc>
          <w:tcPr>
            <w:tcW w:type="pct" w:w="2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1,350,000</w:t>
            </w:r>
          </w:p>
        </w:tc>
      </w:tr>
      <w:tr>
        <w:tc>
          <w:tcPr>
            <w:tcW w:type="pct" w:w="28%"/>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Platform Software &amp; RAG Runtime</w:t>
            </w:r>
          </w:p>
        </w:tc>
        <w:tc>
          <w:tcPr>
            <w:tcW w:type="pct" w:w="24%"/>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120,000</w:t>
            </w:r>
          </w:p>
        </w:tc>
        <w:tc>
          <w:tcPr>
            <w:tcW w:type="pct" w:w="24%"/>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450,000</w:t>
            </w:r>
          </w:p>
        </w:tc>
        <w:tc>
          <w:tcPr>
            <w:tcW w:type="pct" w:w="24%"/>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690,000 (3-Yr)</w:t>
            </w:r>
          </w:p>
        </w:tc>
      </w:tr>
      <w:tr>
        <w:tc>
          <w:tcPr>
            <w:tcW w:type="pct" w:w="28%"/>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Integration, Custom OCR &amp; Setup</w:t>
            </w:r>
          </w:p>
        </w:tc>
        <w:tc>
          <w:tcPr>
            <w:tcW w:type="pct" w:w="2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40,000</w:t>
            </w:r>
          </w:p>
        </w:tc>
        <w:tc>
          <w:tcPr>
            <w:tcW w:type="pct" w:w="2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850,000</w:t>
            </w:r>
          </w:p>
        </w:tc>
        <w:tc>
          <w:tcPr>
            <w:tcW w:type="pct" w:w="2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1,150,000 (3-Yr)</w:t>
            </w:r>
          </w:p>
        </w:tc>
      </w:tr>
      <w:tr>
        <w:tc>
          <w:tcPr>
            <w:tcW w:type="pct" w:w="28%"/>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Hosting, Power &amp; Maintenance</w:t>
            </w:r>
          </w:p>
        </w:tc>
        <w:tc>
          <w:tcPr>
            <w:tcW w:type="pct" w:w="24%"/>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1,320,000</w:t>
            </w:r>
          </w:p>
        </w:tc>
        <w:tc>
          <w:tcPr>
            <w:tcW w:type="pct" w:w="24%"/>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1,200,000</w:t>
            </w:r>
          </w:p>
        </w:tc>
        <w:tc>
          <w:tcPr>
            <w:tcW w:type="pct" w:w="24%"/>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260,000</w:t>
            </w:r>
          </w:p>
        </w:tc>
      </w:tr>
      <w:tr>
        <w:tc>
          <w:tcPr>
            <w:tcW w:type="pct" w:w="28%"/>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Total 3-Year Cumulative TCO</w:t>
            </w:r>
          </w:p>
        </w:tc>
        <w:tc>
          <w:tcPr>
            <w:tcW w:type="pct" w:w="2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1,480,000</w:t>
            </w:r>
          </w:p>
        </w:tc>
        <w:tc>
          <w:tcPr>
            <w:tcW w:type="pct" w:w="2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2,550,000</w:t>
            </w:r>
          </w:p>
        </w:tc>
        <w:tc>
          <w:tcPr>
            <w:tcW w:type="pct" w:w="2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3,450,000</w:t>
            </w:r>
          </w:p>
        </w:tc>
      </w:tr>
      <w:tr>
        <w:tc>
          <w:tcPr>
            <w:tcW w:type="pct" w:w="28%"/>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CBE Secrecy &amp; Audit Rating</w:t>
            </w:r>
          </w:p>
        </w:tc>
        <w:tc>
          <w:tcPr>
            <w:tcW w:type="pct" w:w="24%"/>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Moderate (Third-party audit)</w:t>
            </w:r>
          </w:p>
        </w:tc>
        <w:tc>
          <w:tcPr>
            <w:tcW w:type="pct" w:w="24%"/>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High</w:t>
            </w:r>
          </w:p>
        </w:tc>
        <w:tc>
          <w:tcPr>
            <w:tcW w:type="pct" w:w="24%"/>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Maximum (100% Sovereign)</w:t>
            </w:r>
          </w:p>
        </w:tc>
      </w:tr>
    </w:tbl>
    <w:p>
      <w:pPr>
        <w:pStyle w:val="Heading1"/>
        <w:spacing w:after="100" w:before="280"/>
      </w:pPr>
      <w:r>
        <w:rPr>
          <w:rFonts w:ascii="Calibri" w:cs="Calibri" w:eastAsia="Calibri" w:hAnsi="Calibri"/>
          <w:b/>
          <w:bCs/>
          <w:color w:val="0B2545"/>
          <w:sz w:val="26"/>
          <w:szCs w:val="26"/>
        </w:rPr>
        <w:t xml:space="preserve">4. Investment Evaluation &amp; Financial Returns</w:t>
      </w:r>
    </w:p>
    <w:p>
      <w:pPr>
        <w:spacing w:after="60" w:before="40" w:line="250"/>
        <w:jc w:val="left"/>
      </w:pPr>
      <w:r>
        <w:rPr>
          <w:rFonts w:ascii="Calibri" w:cs="Calibri" w:eastAsia="Calibri" w:hAnsi="Calibri"/>
          <w:b w:val="false"/>
          <w:bCs w:val="false"/>
          <w:i w:val="false"/>
          <w:iCs w:val="false"/>
          <w:color w:val="1E293B"/>
          <w:sz w:val="21"/>
          <w:szCs w:val="21"/>
        </w:rPr>
        <w:t xml:space="preserve">Applying formal corporate finance and private equity investment evaluation frameworks, the MIDBrain platform generates substantial, measurable economic value across three primary commercial channels:</w:t>
      </w:r>
    </w:p>
    <w:p>
      <w:pPr>
        <w:pStyle w:val="ListParagraph"/>
        <w:numPr>
          <w:ilvl w:val="0"/>
          <w:numId w:val="1"/>
        </w:numPr>
        <w:spacing w:after="40" w:before="20" w:line="240"/>
      </w:pPr>
      <w:r>
        <w:rPr>
          <w:rFonts w:ascii="Calibri" w:cs="Calibri" w:eastAsia="Calibri" w:hAnsi="Calibri"/>
          <w:b/>
          <w:bCs/>
          <w:i w:val="false"/>
          <w:iCs w:val="false"/>
          <w:color w:val="1E293B"/>
          <w:sz w:val="21"/>
          <w:szCs w:val="21"/>
        </w:rPr>
        <w:t xml:space="preserve">1. Direct Operational Labor Efficiency: </w:t>
      </w:r>
      <w:r>
        <w:rPr>
          <w:rFonts w:ascii="Calibri" w:cs="Calibri" w:eastAsia="Calibri" w:hAnsi="Calibri"/>
          <w:b w:val="false"/>
          <w:bCs w:val="false"/>
          <w:i w:val="false"/>
          <w:iCs w:val="false"/>
          <w:color w:val="1E293B"/>
          <w:sz w:val="21"/>
          <w:szCs w:val="21"/>
        </w:rPr>
        <w:t xml:space="preserve">Automating 90% of financial spreading reclaims over 14,000 analyst and compliance hours annually across MIDBANK's corporate, SME, and risk teams, generating EGP ~9.2M in cumulative 3-year labor value.</w:t>
      </w:r>
    </w:p>
    <w:p>
      <w:pPr>
        <w:pStyle w:val="ListParagraph"/>
        <w:numPr>
          <w:ilvl w:val="0"/>
          <w:numId w:val="1"/>
        </w:numPr>
        <w:spacing w:after="40" w:before="20" w:line="240"/>
      </w:pPr>
      <w:r>
        <w:rPr>
          <w:rFonts w:ascii="Calibri" w:cs="Calibri" w:eastAsia="Calibri" w:hAnsi="Calibri"/>
          <w:b/>
          <w:bCs/>
          <w:i w:val="false"/>
          <w:iCs w:val="false"/>
          <w:color w:val="1E293B"/>
          <w:sz w:val="21"/>
          <w:szCs w:val="21"/>
        </w:rPr>
        <w:t xml:space="preserve">2. Accelerated SME Loan Book Origination &amp; NIM Uplift: </w:t>
      </w:r>
      <w:r>
        <w:rPr>
          <w:rFonts w:ascii="Calibri" w:cs="Calibri" w:eastAsia="Calibri" w:hAnsi="Calibri"/>
          <w:b w:val="false"/>
          <w:bCs w:val="false"/>
          <w:i w:val="false"/>
          <w:iCs w:val="false"/>
          <w:color w:val="1E293B"/>
          <w:sz w:val="21"/>
          <w:szCs w:val="21"/>
        </w:rPr>
        <w:t xml:space="preserve">Compressing underwriting turnaround from 18 to 4–5 days increases SME applicant conversion by 15–20%. Over 36 months, this enables EGP 250M in new high-quality SME loan disbursements, yielding EGP ~12.5M in incremental Net Interest Margin (NIM).</w:t>
      </w:r>
    </w:p>
    <w:p>
      <w:pPr>
        <w:pStyle w:val="ListParagraph"/>
        <w:numPr>
          <w:ilvl w:val="0"/>
          <w:numId w:val="1"/>
        </w:numPr>
        <w:spacing w:after="40" w:before="20" w:line="240"/>
      </w:pPr>
      <w:r>
        <w:rPr>
          <w:rFonts w:ascii="Calibri" w:cs="Calibri" w:eastAsia="Calibri" w:hAnsi="Calibri"/>
          <w:b/>
          <w:bCs/>
          <w:i w:val="false"/>
          <w:iCs w:val="false"/>
          <w:color w:val="1E293B"/>
          <w:sz w:val="21"/>
          <w:szCs w:val="21"/>
        </w:rPr>
        <w:t xml:space="preserve">3. Non-Performing Loan (NPL) Avoidance &amp; IFRS 9 Provision Savings: </w:t>
      </w:r>
      <w:r>
        <w:rPr>
          <w:rFonts w:ascii="Calibri" w:cs="Calibri" w:eastAsia="Calibri" w:hAnsi="Calibri"/>
          <w:b w:val="false"/>
          <w:bCs w:val="false"/>
          <w:i w:val="false"/>
          <w:iCs w:val="false"/>
          <w:color w:val="1E293B"/>
          <w:sz w:val="21"/>
          <w:szCs w:val="21"/>
        </w:rPr>
        <w:t xml:space="preserve">Standardized ratio calculations, comprehensive footnote analysis, and automated early warning signals prevent borrower default migration, saving EGP ~3.1M in IFRS 9 Stage 2/3 credit provisions.</w:t>
      </w:r>
    </w:p>
    <w:p>
      <w:pPr>
        <w:pStyle w:val="Heading2"/>
        <w:spacing w:after="80" w:before="200"/>
      </w:pPr>
      <w:r>
        <w:rPr>
          <w:rFonts w:ascii="Calibri" w:cs="Calibri" w:eastAsia="Calibri" w:hAnsi="Calibri"/>
          <w:b/>
          <w:bCs/>
          <w:color w:val="B8860B"/>
          <w:sz w:val="21"/>
          <w:szCs w:val="21"/>
        </w:rPr>
        <w:t xml:space="preserve">4.1 3-Year Cash Flow Schedule &amp; Valuation Model</w:t>
      </w:r>
    </w:p>
    <w:p>
      <w:pPr>
        <w:spacing w:after="60" w:before="40" w:line="250"/>
        <w:jc w:val="left"/>
      </w:pPr>
      <w:r>
        <w:rPr>
          <w:rFonts w:ascii="Calibri" w:cs="Calibri" w:eastAsia="Calibri" w:hAnsi="Calibri"/>
          <w:b w:val="false"/>
          <w:bCs w:val="false"/>
          <w:i w:val="false"/>
          <w:iCs w:val="false"/>
          <w:color w:val="1E293B"/>
          <w:sz w:val="21"/>
          <w:szCs w:val="21"/>
        </w:rPr>
        <w:t xml:space="preserve">The following cash flow schedule details the initial capital outlay, operational maintenance expenses, and realized commercial benefits over a 3-year investment horizon: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tblGrid>
      <w:tr>
        <w:tc>
          <w:tcPr>
            <w:tcW w:type="pct" w:w="28%"/>
            <w:tcBorders>
              <w:top w:val="single" w:color="CBD5E1" w:sz="6"/>
              <w:left w:val="single" w:color="CBD5E1" w:sz="6"/>
              <w:bottom w:val="single" w:color="CBD5E1" w:sz="12"/>
              <w:right w:val="single" w:color="CBD5E1" w:sz="6"/>
            </w:tcBorders>
            <w:shd w:fill="0B2545" w:val="clear"/>
            <w:tcMar>
              <w:top w:type="dxa" w:w="80"/>
              <w:left w:type="dxa" w:w="100"/>
              <w:bottom w:type="dxa" w:w="80"/>
              <w:right w:type="dxa" w:w="100"/>
            </w:tcMar>
          </w:tcPr>
          <w:p>
            <w:pPr>
              <w:spacing w:after="0" w:before="0"/>
              <w:jc w:val="center"/>
            </w:pPr>
            <w:r>
              <w:rPr>
                <w:rFonts w:ascii="Calibri" w:cs="Calibri" w:eastAsia="Calibri" w:hAnsi="Calibri"/>
                <w:b/>
                <w:bCs/>
                <w:color w:val="FFFFFF"/>
                <w:sz w:val="19"/>
                <w:szCs w:val="19"/>
              </w:rPr>
              <w:t xml:space="preserve">Financial Dimension (EGP)</w:t>
            </w:r>
          </w:p>
        </w:tc>
        <w:tc>
          <w:tcPr>
            <w:tcW w:type="pct" w:w="14%"/>
            <w:tcBorders>
              <w:top w:val="single" w:color="CBD5E1" w:sz="6"/>
              <w:left w:val="single" w:color="CBD5E1" w:sz="6"/>
              <w:bottom w:val="single" w:color="CBD5E1" w:sz="12"/>
              <w:right w:val="single" w:color="CBD5E1" w:sz="6"/>
            </w:tcBorders>
            <w:shd w:fill="0B2545" w:val="clear"/>
            <w:tcMar>
              <w:top w:type="dxa" w:w="80"/>
              <w:left w:type="dxa" w:w="100"/>
              <w:bottom w:type="dxa" w:w="80"/>
              <w:right w:type="dxa" w:w="100"/>
            </w:tcMar>
          </w:tcPr>
          <w:p>
            <w:pPr>
              <w:spacing w:after="0" w:before="0"/>
              <w:jc w:val="center"/>
            </w:pPr>
            <w:r>
              <w:rPr>
                <w:rFonts w:ascii="Calibri" w:cs="Calibri" w:eastAsia="Calibri" w:hAnsi="Calibri"/>
                <w:b/>
                <w:bCs/>
                <w:color w:val="FFFFFF"/>
                <w:sz w:val="19"/>
                <w:szCs w:val="19"/>
              </w:rPr>
              <w:t xml:space="preserve">Year 0 (Setup)</w:t>
            </w:r>
          </w:p>
        </w:tc>
        <w:tc>
          <w:tcPr>
            <w:tcW w:type="pct" w:w="14%"/>
            <w:tcBorders>
              <w:top w:val="single" w:color="CBD5E1" w:sz="6"/>
              <w:left w:val="single" w:color="CBD5E1" w:sz="6"/>
              <w:bottom w:val="single" w:color="CBD5E1" w:sz="12"/>
              <w:right w:val="single" w:color="CBD5E1" w:sz="6"/>
            </w:tcBorders>
            <w:shd w:fill="0B2545" w:val="clear"/>
            <w:tcMar>
              <w:top w:type="dxa" w:w="80"/>
              <w:left w:type="dxa" w:w="100"/>
              <w:bottom w:type="dxa" w:w="80"/>
              <w:right w:type="dxa" w:w="100"/>
            </w:tcMar>
          </w:tcPr>
          <w:p>
            <w:pPr>
              <w:spacing w:after="0" w:before="0"/>
              <w:jc w:val="center"/>
            </w:pPr>
            <w:r>
              <w:rPr>
                <w:rFonts w:ascii="Calibri" w:cs="Calibri" w:eastAsia="Calibri" w:hAnsi="Calibri"/>
                <w:b/>
                <w:bCs/>
                <w:color w:val="FFFFFF"/>
                <w:sz w:val="19"/>
                <w:szCs w:val="19"/>
              </w:rPr>
              <w:t xml:space="preserve">Year 1</w:t>
            </w:r>
          </w:p>
        </w:tc>
        <w:tc>
          <w:tcPr>
            <w:tcW w:type="pct" w:w="14%"/>
            <w:tcBorders>
              <w:top w:val="single" w:color="CBD5E1" w:sz="6"/>
              <w:left w:val="single" w:color="CBD5E1" w:sz="6"/>
              <w:bottom w:val="single" w:color="CBD5E1" w:sz="12"/>
              <w:right w:val="single" w:color="CBD5E1" w:sz="6"/>
            </w:tcBorders>
            <w:shd w:fill="0B2545" w:val="clear"/>
            <w:tcMar>
              <w:top w:type="dxa" w:w="80"/>
              <w:left w:type="dxa" w:w="100"/>
              <w:bottom w:type="dxa" w:w="80"/>
              <w:right w:type="dxa" w:w="100"/>
            </w:tcMar>
          </w:tcPr>
          <w:p>
            <w:pPr>
              <w:spacing w:after="0" w:before="0"/>
              <w:jc w:val="center"/>
            </w:pPr>
            <w:r>
              <w:rPr>
                <w:rFonts w:ascii="Calibri" w:cs="Calibri" w:eastAsia="Calibri" w:hAnsi="Calibri"/>
                <w:b/>
                <w:bCs/>
                <w:color w:val="FFFFFF"/>
                <w:sz w:val="19"/>
                <w:szCs w:val="19"/>
              </w:rPr>
              <w:t xml:space="preserve">Year 2</w:t>
            </w:r>
          </w:p>
        </w:tc>
        <w:tc>
          <w:tcPr>
            <w:tcW w:type="pct" w:w="14%"/>
            <w:tcBorders>
              <w:top w:val="single" w:color="CBD5E1" w:sz="6"/>
              <w:left w:val="single" w:color="CBD5E1" w:sz="6"/>
              <w:bottom w:val="single" w:color="CBD5E1" w:sz="12"/>
              <w:right w:val="single" w:color="CBD5E1" w:sz="6"/>
            </w:tcBorders>
            <w:shd w:fill="0B2545" w:val="clear"/>
            <w:tcMar>
              <w:top w:type="dxa" w:w="80"/>
              <w:left w:type="dxa" w:w="100"/>
              <w:bottom w:type="dxa" w:w="80"/>
              <w:right w:type="dxa" w:w="100"/>
            </w:tcMar>
          </w:tcPr>
          <w:p>
            <w:pPr>
              <w:spacing w:after="0" w:before="0"/>
              <w:jc w:val="center"/>
            </w:pPr>
            <w:r>
              <w:rPr>
                <w:rFonts w:ascii="Calibri" w:cs="Calibri" w:eastAsia="Calibri" w:hAnsi="Calibri"/>
                <w:b/>
                <w:bCs/>
                <w:color w:val="FFFFFF"/>
                <w:sz w:val="19"/>
                <w:szCs w:val="19"/>
              </w:rPr>
              <w:t xml:space="preserve">Year 3</w:t>
            </w:r>
          </w:p>
        </w:tc>
        <w:tc>
          <w:tcPr>
            <w:tcW w:type="pct" w:w="16%"/>
            <w:tcBorders>
              <w:top w:val="single" w:color="CBD5E1" w:sz="6"/>
              <w:left w:val="single" w:color="CBD5E1" w:sz="6"/>
              <w:bottom w:val="single" w:color="CBD5E1" w:sz="12"/>
              <w:right w:val="single" w:color="CBD5E1" w:sz="6"/>
            </w:tcBorders>
            <w:shd w:fill="0B2545" w:val="clear"/>
            <w:tcMar>
              <w:top w:type="dxa" w:w="80"/>
              <w:left w:type="dxa" w:w="100"/>
              <w:bottom w:type="dxa" w:w="80"/>
              <w:right w:type="dxa" w:w="100"/>
            </w:tcMar>
          </w:tcPr>
          <w:p>
            <w:pPr>
              <w:spacing w:after="0" w:before="0"/>
              <w:jc w:val="center"/>
            </w:pPr>
            <w:r>
              <w:rPr>
                <w:rFonts w:ascii="Calibri" w:cs="Calibri" w:eastAsia="Calibri" w:hAnsi="Calibri"/>
                <w:b/>
                <w:bCs/>
                <w:color w:val="FFFFFF"/>
                <w:sz w:val="19"/>
                <w:szCs w:val="19"/>
              </w:rPr>
              <w:t xml:space="preserve">3-Year Cumulative Total</w:t>
            </w:r>
          </w:p>
        </w:tc>
      </w:tr>
      <w:tr>
        <w:tc>
          <w:tcPr>
            <w:tcW w:type="pct" w:w="28%"/>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CapEx &amp; Implementation Outlay</w:t>
            </w:r>
          </w:p>
        </w:tc>
        <w:tc>
          <w:tcPr>
            <w:tcW w:type="pct" w:w="1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2,700,000)</w:t>
            </w:r>
          </w:p>
        </w:tc>
        <w:tc>
          <w:tcPr>
            <w:tcW w:type="pct" w:w="1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w:t>
            </w:r>
          </w:p>
        </w:tc>
        <w:tc>
          <w:tcPr>
            <w:tcW w:type="pct" w:w="1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w:t>
            </w:r>
          </w:p>
        </w:tc>
        <w:tc>
          <w:tcPr>
            <w:tcW w:type="pct" w:w="1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w:t>
            </w:r>
          </w:p>
        </w:tc>
        <w:tc>
          <w:tcPr>
            <w:tcW w:type="pct" w:w="16%"/>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2,700,000)</w:t>
            </w:r>
          </w:p>
        </w:tc>
      </w:tr>
      <w:tr>
        <w:tc>
          <w:tcPr>
            <w:tcW w:type="pct" w:w="28%"/>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Ongoing OpEx &amp; System Support</w:t>
            </w:r>
          </w:p>
        </w:tc>
        <w:tc>
          <w:tcPr>
            <w:tcW w:type="pct" w:w="14%"/>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w:t>
            </w:r>
          </w:p>
        </w:tc>
        <w:tc>
          <w:tcPr>
            <w:tcW w:type="pct" w:w="14%"/>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375,000)</w:t>
            </w:r>
          </w:p>
        </w:tc>
        <w:tc>
          <w:tcPr>
            <w:tcW w:type="pct" w:w="14%"/>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375,000)</w:t>
            </w:r>
          </w:p>
        </w:tc>
        <w:tc>
          <w:tcPr>
            <w:tcW w:type="pct" w:w="14%"/>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375,000)</w:t>
            </w:r>
          </w:p>
        </w:tc>
        <w:tc>
          <w:tcPr>
            <w:tcW w:type="pct" w:w="16%"/>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1,125,000)</w:t>
            </w:r>
          </w:p>
        </w:tc>
      </w:tr>
      <w:tr>
        <w:tc>
          <w:tcPr>
            <w:tcW w:type="pct" w:w="28%"/>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Operational Labor Savings</w:t>
            </w:r>
          </w:p>
        </w:tc>
        <w:tc>
          <w:tcPr>
            <w:tcW w:type="pct" w:w="1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w:t>
            </w:r>
          </w:p>
        </w:tc>
        <w:tc>
          <w:tcPr>
            <w:tcW w:type="pct" w:w="1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1,800,000</w:t>
            </w:r>
          </w:p>
        </w:tc>
        <w:tc>
          <w:tcPr>
            <w:tcW w:type="pct" w:w="1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3,200,000</w:t>
            </w:r>
          </w:p>
        </w:tc>
        <w:tc>
          <w:tcPr>
            <w:tcW w:type="pct" w:w="1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4,200,000</w:t>
            </w:r>
          </w:p>
        </w:tc>
        <w:tc>
          <w:tcPr>
            <w:tcW w:type="pct" w:w="16%"/>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9,200,000</w:t>
            </w:r>
          </w:p>
        </w:tc>
      </w:tr>
      <w:tr>
        <w:tc>
          <w:tcPr>
            <w:tcW w:type="pct" w:w="28%"/>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Incremental SME NIM Generation</w:t>
            </w:r>
          </w:p>
        </w:tc>
        <w:tc>
          <w:tcPr>
            <w:tcW w:type="pct" w:w="14%"/>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w:t>
            </w:r>
          </w:p>
        </w:tc>
        <w:tc>
          <w:tcPr>
            <w:tcW w:type="pct" w:w="14%"/>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1,250,000</w:t>
            </w:r>
          </w:p>
        </w:tc>
        <w:tc>
          <w:tcPr>
            <w:tcW w:type="pct" w:w="14%"/>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3,750,000</w:t>
            </w:r>
          </w:p>
        </w:tc>
        <w:tc>
          <w:tcPr>
            <w:tcW w:type="pct" w:w="14%"/>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7,500,000</w:t>
            </w:r>
          </w:p>
        </w:tc>
        <w:tc>
          <w:tcPr>
            <w:tcW w:type="pct" w:w="16%"/>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12,500,000</w:t>
            </w:r>
          </w:p>
        </w:tc>
      </w:tr>
      <w:tr>
        <w:tc>
          <w:tcPr>
            <w:tcW w:type="pct" w:w="28%"/>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NPL Provisioning Avoidance</w:t>
            </w:r>
          </w:p>
        </w:tc>
        <w:tc>
          <w:tcPr>
            <w:tcW w:type="pct" w:w="1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w:t>
            </w:r>
          </w:p>
        </w:tc>
        <w:tc>
          <w:tcPr>
            <w:tcW w:type="pct" w:w="1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400,000</w:t>
            </w:r>
          </w:p>
        </w:tc>
        <w:tc>
          <w:tcPr>
            <w:tcW w:type="pct" w:w="1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1,100,000</w:t>
            </w:r>
          </w:p>
        </w:tc>
        <w:tc>
          <w:tcPr>
            <w:tcW w:type="pct" w:w="1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1,600,000</w:t>
            </w:r>
          </w:p>
        </w:tc>
        <w:tc>
          <w:tcPr>
            <w:tcW w:type="pct" w:w="16%"/>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3,100,000</w:t>
            </w:r>
          </w:p>
        </w:tc>
      </w:tr>
      <w:tr>
        <w:tc>
          <w:tcPr>
            <w:tcW w:type="pct" w:w="28%"/>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Gross Economic Value Created</w:t>
            </w:r>
          </w:p>
        </w:tc>
        <w:tc>
          <w:tcPr>
            <w:tcW w:type="pct" w:w="14%"/>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w:t>
            </w:r>
          </w:p>
        </w:tc>
        <w:tc>
          <w:tcPr>
            <w:tcW w:type="pct" w:w="14%"/>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3,450,000</w:t>
            </w:r>
          </w:p>
        </w:tc>
        <w:tc>
          <w:tcPr>
            <w:tcW w:type="pct" w:w="14%"/>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8,050,000</w:t>
            </w:r>
          </w:p>
        </w:tc>
        <w:tc>
          <w:tcPr>
            <w:tcW w:type="pct" w:w="14%"/>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13,300,000</w:t>
            </w:r>
          </w:p>
        </w:tc>
        <w:tc>
          <w:tcPr>
            <w:tcW w:type="pct" w:w="16%"/>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24,800,000</w:t>
            </w:r>
          </w:p>
        </w:tc>
      </w:tr>
      <w:tr>
        <w:tc>
          <w:tcPr>
            <w:tcW w:type="pct" w:w="28%"/>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Net Annual Cash Flow</w:t>
            </w:r>
          </w:p>
        </w:tc>
        <w:tc>
          <w:tcPr>
            <w:tcW w:type="pct" w:w="1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2,700,000)</w:t>
            </w:r>
          </w:p>
        </w:tc>
        <w:tc>
          <w:tcPr>
            <w:tcW w:type="pct" w:w="1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3,075,000</w:t>
            </w:r>
          </w:p>
        </w:tc>
        <w:tc>
          <w:tcPr>
            <w:tcW w:type="pct" w:w="1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7,675,000</w:t>
            </w:r>
          </w:p>
        </w:tc>
        <w:tc>
          <w:tcPr>
            <w:tcW w:type="pct" w:w="1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12,925,000</w:t>
            </w:r>
          </w:p>
        </w:tc>
        <w:tc>
          <w:tcPr>
            <w:tcW w:type="pct" w:w="16%"/>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20,975,000</w:t>
            </w:r>
          </w:p>
        </w:tc>
      </w:tr>
    </w:tbl>
    <w:p>
      <w:pPr>
        <w:pStyle w:val="Heading2"/>
        <w:spacing w:after="80" w:before="200"/>
      </w:pPr>
      <w:r>
        <w:rPr>
          <w:rFonts w:ascii="Calibri" w:cs="Calibri" w:eastAsia="Calibri" w:hAnsi="Calibri"/>
          <w:b/>
          <w:bCs/>
          <w:color w:val="B8860B"/>
          <w:sz w:val="21"/>
          <w:szCs w:val="21"/>
        </w:rPr>
        <w:t xml:space="preserve">4.2 Investment Valuation Metrics</w:t>
      </w:r>
    </w:p>
    <w:p>
      <w:pPr>
        <w:spacing w:after="60" w:before="40" w:line="250"/>
        <w:jc w:val="left"/>
      </w:pPr>
      <w:r>
        <w:rPr>
          <w:rFonts w:ascii="Calibri" w:cs="Calibri" w:eastAsia="Calibri" w:hAnsi="Calibri"/>
          <w:b w:val="false"/>
          <w:bCs w:val="false"/>
          <w:i w:val="false"/>
          <w:iCs w:val="false"/>
          <w:color w:val="1E293B"/>
          <w:sz w:val="21"/>
          <w:szCs w:val="21"/>
        </w:rPr>
        <w:t xml:space="preserve">Based on a conservative Weighted Average Cost of Capital (WACC) hurdle rate of 18.0% for the Egyptian banking sector: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tcW w:type="pct" w:w="28%"/>
            <w:tcBorders>
              <w:top w:val="single" w:color="CBD5E1" w:sz="6"/>
              <w:left w:val="single" w:color="CBD5E1" w:sz="6"/>
              <w:bottom w:val="single" w:color="CBD5E1" w:sz="12"/>
              <w:right w:val="single" w:color="CBD5E1" w:sz="6"/>
            </w:tcBorders>
            <w:shd w:fill="0B2545" w:val="clear"/>
            <w:tcMar>
              <w:top w:type="dxa" w:w="80"/>
              <w:left w:type="dxa" w:w="100"/>
              <w:bottom w:type="dxa" w:w="80"/>
              <w:right w:type="dxa" w:w="100"/>
            </w:tcMar>
          </w:tcPr>
          <w:p>
            <w:pPr>
              <w:spacing w:after="0" w:before="0"/>
              <w:jc w:val="center"/>
            </w:pPr>
            <w:r>
              <w:rPr>
                <w:rFonts w:ascii="Calibri" w:cs="Calibri" w:eastAsia="Calibri" w:hAnsi="Calibri"/>
                <w:b/>
                <w:bCs/>
                <w:color w:val="FFFFFF"/>
                <w:sz w:val="19"/>
                <w:szCs w:val="19"/>
              </w:rPr>
              <w:t xml:space="preserve">Valuation Metric</w:t>
            </w:r>
          </w:p>
        </w:tc>
        <w:tc>
          <w:tcPr>
            <w:tcW w:type="pct" w:w="22%"/>
            <w:tcBorders>
              <w:top w:val="single" w:color="CBD5E1" w:sz="6"/>
              <w:left w:val="single" w:color="CBD5E1" w:sz="6"/>
              <w:bottom w:val="single" w:color="CBD5E1" w:sz="12"/>
              <w:right w:val="single" w:color="CBD5E1" w:sz="6"/>
            </w:tcBorders>
            <w:shd w:fill="0B2545" w:val="clear"/>
            <w:tcMar>
              <w:top w:type="dxa" w:w="80"/>
              <w:left w:type="dxa" w:w="100"/>
              <w:bottom w:type="dxa" w:w="80"/>
              <w:right w:type="dxa" w:w="100"/>
            </w:tcMar>
          </w:tcPr>
          <w:p>
            <w:pPr>
              <w:spacing w:after="0" w:before="0"/>
              <w:jc w:val="center"/>
            </w:pPr>
            <w:r>
              <w:rPr>
                <w:rFonts w:ascii="Calibri" w:cs="Calibri" w:eastAsia="Calibri" w:hAnsi="Calibri"/>
                <w:b/>
                <w:bCs/>
                <w:color w:val="FFFFFF"/>
                <w:sz w:val="19"/>
                <w:szCs w:val="19"/>
              </w:rPr>
              <w:t xml:space="preserve">Calculated Model Output</w:t>
            </w:r>
          </w:p>
        </w:tc>
        <w:tc>
          <w:tcPr>
            <w:tcW w:type="pct" w:w="22%"/>
            <w:tcBorders>
              <w:top w:val="single" w:color="CBD5E1" w:sz="6"/>
              <w:left w:val="single" w:color="CBD5E1" w:sz="6"/>
              <w:bottom w:val="single" w:color="CBD5E1" w:sz="12"/>
              <w:right w:val="single" w:color="CBD5E1" w:sz="6"/>
            </w:tcBorders>
            <w:shd w:fill="0B2545" w:val="clear"/>
            <w:tcMar>
              <w:top w:type="dxa" w:w="80"/>
              <w:left w:type="dxa" w:w="100"/>
              <w:bottom w:type="dxa" w:w="80"/>
              <w:right w:type="dxa" w:w="100"/>
            </w:tcMar>
          </w:tcPr>
          <w:p>
            <w:pPr>
              <w:spacing w:after="0" w:before="0"/>
              <w:jc w:val="center"/>
            </w:pPr>
            <w:r>
              <w:rPr>
                <w:rFonts w:ascii="Calibri" w:cs="Calibri" w:eastAsia="Calibri" w:hAnsi="Calibri"/>
                <w:b/>
                <w:bCs/>
                <w:color w:val="FFFFFF"/>
                <w:sz w:val="19"/>
                <w:szCs w:val="19"/>
              </w:rPr>
              <w:t xml:space="preserve">Hurdle / Benchmark</w:t>
            </w:r>
          </w:p>
        </w:tc>
        <w:tc>
          <w:tcPr>
            <w:tcW w:type="pct" w:w="28%"/>
            <w:tcBorders>
              <w:top w:val="single" w:color="CBD5E1" w:sz="6"/>
              <w:left w:val="single" w:color="CBD5E1" w:sz="6"/>
              <w:bottom w:val="single" w:color="CBD5E1" w:sz="12"/>
              <w:right w:val="single" w:color="CBD5E1" w:sz="6"/>
            </w:tcBorders>
            <w:shd w:fill="0B2545" w:val="clear"/>
            <w:tcMar>
              <w:top w:type="dxa" w:w="80"/>
              <w:left w:type="dxa" w:w="100"/>
              <w:bottom w:type="dxa" w:w="80"/>
              <w:right w:type="dxa" w:w="100"/>
            </w:tcMar>
          </w:tcPr>
          <w:p>
            <w:pPr>
              <w:spacing w:after="0" w:before="0"/>
              <w:jc w:val="center"/>
            </w:pPr>
            <w:r>
              <w:rPr>
                <w:rFonts w:ascii="Calibri" w:cs="Calibri" w:eastAsia="Calibri" w:hAnsi="Calibri"/>
                <w:b/>
                <w:bCs/>
                <w:color w:val="FFFFFF"/>
                <w:sz w:val="19"/>
                <w:szCs w:val="19"/>
              </w:rPr>
              <w:t xml:space="preserve">Executive Investment Assessment</w:t>
            </w:r>
          </w:p>
        </w:tc>
      </w:tr>
      <w:tr>
        <w:tc>
          <w:tcPr>
            <w:tcW w:type="pct" w:w="28%"/>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Net Present Value (NPV @ 18% WACC)</w:t>
            </w:r>
          </w:p>
        </w:tc>
        <w:tc>
          <w:tcPr>
            <w:tcW w:type="pct" w:w="22%"/>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11,240,000</w:t>
            </w:r>
          </w:p>
        </w:tc>
        <w:tc>
          <w:tcPr>
            <w:tcW w:type="pct" w:w="22%"/>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&gt; 0 EGP</w:t>
            </w:r>
          </w:p>
        </w:tc>
        <w:tc>
          <w:tcPr>
            <w:tcW w:type="pct" w:w="28%"/>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Outstanding value creation; strongly accretive</w:t>
            </w:r>
          </w:p>
        </w:tc>
      </w:tr>
      <w:tr>
        <w:tc>
          <w:tcPr>
            <w:tcW w:type="pct" w:w="28%"/>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Internal Rate of Return (IRR)</w:t>
            </w:r>
          </w:p>
        </w:tc>
        <w:tc>
          <w:tcPr>
            <w:tcW w:type="pct" w:w="22%"/>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68.4%</w:t>
            </w:r>
          </w:p>
        </w:tc>
        <w:tc>
          <w:tcPr>
            <w:tcW w:type="pct" w:w="22%"/>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18.0% Bank Hurdle</w:t>
            </w:r>
          </w:p>
        </w:tc>
        <w:tc>
          <w:tcPr>
            <w:tcW w:type="pct" w:w="28%"/>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Exceptional return profile; exceeds cost of capital by 3.8x</w:t>
            </w:r>
          </w:p>
        </w:tc>
      </w:tr>
      <w:tr>
        <w:tc>
          <w:tcPr>
            <w:tcW w:type="pct" w:w="28%"/>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Discounted Payback Period</w:t>
            </w:r>
          </w:p>
        </w:tc>
        <w:tc>
          <w:tcPr>
            <w:tcW w:type="pct" w:w="22%"/>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14.2 Months</w:t>
            </w:r>
          </w:p>
        </w:tc>
        <w:tc>
          <w:tcPr>
            <w:tcW w:type="pct" w:w="22%"/>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&lt; 24 Months</w:t>
            </w:r>
          </w:p>
        </w:tc>
        <w:tc>
          <w:tcPr>
            <w:tcW w:type="pct" w:w="28%"/>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Full capital recovery achieved during Year 2</w:t>
            </w:r>
          </w:p>
        </w:tc>
      </w:tr>
      <w:tr>
        <w:tc>
          <w:tcPr>
            <w:tcW w:type="pct" w:w="28%"/>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3-Year Return on Investment (ROI)</w:t>
            </w:r>
          </w:p>
        </w:tc>
        <w:tc>
          <w:tcPr>
            <w:tcW w:type="pct" w:w="22%"/>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345%</w:t>
            </w:r>
          </w:p>
        </w:tc>
        <w:tc>
          <w:tcPr>
            <w:tcW w:type="pct" w:w="22%"/>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&gt; 100%</w:t>
            </w:r>
          </w:p>
        </w:tc>
        <w:tc>
          <w:tcPr>
            <w:tcW w:type="pct" w:w="28%"/>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High-yield strategic efficiency program</w:t>
            </w:r>
          </w:p>
        </w:tc>
      </w:tr>
      <w:tr>
        <w:tc>
          <w:tcPr>
            <w:tcW w:type="pct" w:w="28%"/>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Cost-to-Income Ratio (CIR) Benefit</w:t>
            </w:r>
          </w:p>
        </w:tc>
        <w:tc>
          <w:tcPr>
            <w:tcW w:type="pct" w:w="22%"/>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-280 to -350 bps</w:t>
            </w:r>
          </w:p>
        </w:tc>
        <w:tc>
          <w:tcPr>
            <w:tcW w:type="pct" w:w="22%"/>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Structural Gain</w:t>
            </w:r>
          </w:p>
        </w:tc>
        <w:tc>
          <w:tcPr>
            <w:tcW w:type="pct" w:w="28%"/>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Directly improves bank-wide operating efficiency</w:t>
            </w:r>
          </w:p>
        </w:tc>
      </w:tr>
    </w:tbl>
    <w:p>
      <w:pPr>
        <w:pStyle w:val="Heading1"/>
        <w:spacing w:after="100" w:before="280"/>
      </w:pPr>
      <w:r>
        <w:rPr>
          <w:rFonts w:ascii="Calibri" w:cs="Calibri" w:eastAsia="Calibri" w:hAnsi="Calibri"/>
          <w:b/>
          <w:bCs/>
          <w:color w:val="0B2545"/>
          <w:sz w:val="26"/>
          <w:szCs w:val="26"/>
        </w:rPr>
        <w:t xml:space="preserve">5. Target Operating Model, Team &amp; Hiring Roadmap</w:t>
      </w:r>
    </w:p>
    <w:p>
      <w:pPr>
        <w:spacing w:after="60" w:before="40" w:line="250"/>
        <w:jc w:val="left"/>
      </w:pPr>
      <w:r>
        <w:rPr>
          <w:rFonts w:ascii="Calibri" w:cs="Calibri" w:eastAsia="Calibri" w:hAnsi="Calibri"/>
          <w:b w:val="false"/>
          <w:bCs w:val="false"/>
          <w:i w:val="false"/>
          <w:iCs w:val="false"/>
          <w:color w:val="1E293B"/>
          <w:sz w:val="21"/>
          <w:szCs w:val="21"/>
        </w:rPr>
        <w:t xml:space="preserve">To ensure operational self-sufficiency and institutional ownership, MIDBANK will establish an internal **Banking AI Center of Excellence (AI CoE)** operating under a hybrid co-development model:</w:t>
      </w:r>
    </w:p>
    <w:p>
      <w:pPr>
        <w:pStyle w:val="Heading2"/>
        <w:spacing w:after="80" w:before="200"/>
      </w:pPr>
      <w:r>
        <w:rPr>
          <w:rFonts w:ascii="Calibri" w:cs="Calibri" w:eastAsia="Calibri" w:hAnsi="Calibri"/>
          <w:b/>
          <w:bCs/>
          <w:color w:val="B8860B"/>
          <w:sz w:val="21"/>
          <w:szCs w:val="21"/>
        </w:rPr>
        <w:t xml:space="preserve">5.1 Banking AI Center of Excellence (CoE) Governance</w:t>
      </w:r>
    </w:p>
    <w:p>
      <w:pPr>
        <w:spacing w:after="60" w:before="40" w:line="250"/>
        <w:jc w:val="left"/>
      </w:pPr>
      <w:r>
        <w:rPr>
          <w:rFonts w:ascii="Calibri" w:cs="Calibri" w:eastAsia="Calibri" w:hAnsi="Calibri"/>
          <w:b w:val="false"/>
          <w:bCs w:val="false"/>
          <w:i w:val="false"/>
          <w:iCs w:val="false"/>
          <w:color w:val="1E293B"/>
          <w:sz w:val="21"/>
          <w:szCs w:val="21"/>
        </w:rPr>
        <w:t xml:space="preserve">The CoE reports jointly to the Chief Technology Officer (CTO) and Chief Risk Officer (CRO), ensuring alignment across commercial growth and risk governance:</w:t>
      </w:r>
    </w:p>
    <w:p>
      <w:pPr>
        <w:pStyle w:val="ListParagraph"/>
        <w:numPr>
          <w:ilvl w:val="0"/>
          <w:numId w:val="1"/>
        </w:numPr>
        <w:spacing w:after="40" w:before="20" w:line="240"/>
      </w:pPr>
      <w:r>
        <w:rPr>
          <w:rFonts w:ascii="Calibri" w:cs="Calibri" w:eastAsia="Calibri" w:hAnsi="Calibri"/>
          <w:b/>
          <w:bCs/>
          <w:i w:val="false"/>
          <w:iCs w:val="false"/>
          <w:color w:val="1E293B"/>
          <w:sz w:val="21"/>
          <w:szCs w:val="21"/>
        </w:rPr>
        <w:t xml:space="preserve">Head of AI &amp; Innovation (1 FTE): </w:t>
      </w:r>
      <w:r>
        <w:rPr>
          <w:rFonts w:ascii="Calibri" w:cs="Calibri" w:eastAsia="Calibri" w:hAnsi="Calibri"/>
          <w:b w:val="false"/>
          <w:bCs w:val="false"/>
          <w:i w:val="false"/>
          <w:iCs w:val="false"/>
          <w:color w:val="1E293B"/>
          <w:sz w:val="21"/>
          <w:szCs w:val="21"/>
        </w:rPr>
        <w:t xml:space="preserve">Drives enterprise AI roadmap, aligns use cases with business units, and interfaces with the Board.</w:t>
      </w:r>
    </w:p>
    <w:p>
      <w:pPr>
        <w:pStyle w:val="ListParagraph"/>
        <w:numPr>
          <w:ilvl w:val="0"/>
          <w:numId w:val="1"/>
        </w:numPr>
        <w:spacing w:after="40" w:before="20" w:line="240"/>
      </w:pPr>
      <w:r>
        <w:rPr>
          <w:rFonts w:ascii="Calibri" w:cs="Calibri" w:eastAsia="Calibri" w:hAnsi="Calibri"/>
          <w:b/>
          <w:bCs/>
          <w:i w:val="false"/>
          <w:iCs w:val="false"/>
          <w:color w:val="1E293B"/>
          <w:sz w:val="21"/>
          <w:szCs w:val="21"/>
        </w:rPr>
        <w:t xml:space="preserve">Lead AI / MLOps Engineer (1 FTE): </w:t>
      </w:r>
      <w:r>
        <w:rPr>
          <w:rFonts w:ascii="Calibri" w:cs="Calibri" w:eastAsia="Calibri" w:hAnsi="Calibri"/>
          <w:b w:val="false"/>
          <w:bCs w:val="false"/>
          <w:i w:val="false"/>
          <w:iCs w:val="false"/>
          <w:color w:val="1E293B"/>
          <w:sz w:val="21"/>
          <w:szCs w:val="21"/>
        </w:rPr>
        <w:t xml:space="preserve">Oversees sovereign GPU servers, model fine-tuning, prompt management, and inference latency.</w:t>
      </w:r>
    </w:p>
    <w:p>
      <w:pPr>
        <w:pStyle w:val="ListParagraph"/>
        <w:numPr>
          <w:ilvl w:val="0"/>
          <w:numId w:val="1"/>
        </w:numPr>
        <w:spacing w:after="40" w:before="20" w:line="240"/>
      </w:pPr>
      <w:r>
        <w:rPr>
          <w:rFonts w:ascii="Calibri" w:cs="Calibri" w:eastAsia="Calibri" w:hAnsi="Calibri"/>
          <w:b/>
          <w:bCs/>
          <w:i w:val="false"/>
          <w:iCs w:val="false"/>
          <w:color w:val="1E293B"/>
          <w:sz w:val="21"/>
          <w:szCs w:val="21"/>
        </w:rPr>
        <w:t xml:space="preserve">Senior Data &amp; Integration Engineer (1 FTE): </w:t>
      </w:r>
      <w:r>
        <w:rPr>
          <w:rFonts w:ascii="Calibri" w:cs="Calibri" w:eastAsia="Calibri" w:hAnsi="Calibri"/>
          <w:b w:val="false"/>
          <w:bCs w:val="false"/>
          <w:i w:val="false"/>
          <w:iCs w:val="false"/>
          <w:color w:val="1E293B"/>
          <w:sz w:val="21"/>
          <w:szCs w:val="21"/>
        </w:rPr>
        <w:t xml:space="preserve">Manages ETL pipelines connecting MIDBrain to Core Banking (FLEXCUBE), Document Management System (DMS), and I-Score.</w:t>
      </w:r>
    </w:p>
    <w:p>
      <w:pPr>
        <w:pStyle w:val="ListParagraph"/>
        <w:numPr>
          <w:ilvl w:val="0"/>
          <w:numId w:val="1"/>
        </w:numPr>
        <w:spacing w:after="40" w:before="20" w:line="240"/>
      </w:pPr>
      <w:r>
        <w:rPr>
          <w:rFonts w:ascii="Calibri" w:cs="Calibri" w:eastAsia="Calibri" w:hAnsi="Calibri"/>
          <w:b/>
          <w:bCs/>
          <w:i w:val="false"/>
          <w:iCs w:val="false"/>
          <w:color w:val="1E293B"/>
          <w:sz w:val="21"/>
          <w:szCs w:val="21"/>
        </w:rPr>
        <w:t xml:space="preserve">Banking Domain Champions (Part-Time): </w:t>
      </w:r>
      <w:r>
        <w:rPr>
          <w:rFonts w:ascii="Calibri" w:cs="Calibri" w:eastAsia="Calibri" w:hAnsi="Calibri"/>
          <w:b w:val="false"/>
          <w:bCs w:val="false"/>
          <w:i w:val="false"/>
          <w:iCs w:val="false"/>
          <w:color w:val="1E293B"/>
          <w:sz w:val="21"/>
          <w:szCs w:val="21"/>
        </w:rPr>
        <w:t xml:space="preserve">Designated senior credit analysts, risk managers, and compliance officers who validate training ground truth.</w:t>
      </w:r>
    </w:p>
    <w:p>
      <w:pPr>
        <w:pStyle w:val="Heading2"/>
        <w:spacing w:after="80" w:before="200"/>
      </w:pPr>
      <w:r>
        <w:rPr>
          <w:rFonts w:ascii="Calibri" w:cs="Calibri" w:eastAsia="Calibri" w:hAnsi="Calibri"/>
          <w:b/>
          <w:bCs/>
          <w:color w:val="B8860B"/>
          <w:sz w:val="21"/>
          <w:szCs w:val="21"/>
        </w:rPr>
        <w:t xml:space="preserve">5.2 12-Month Staffing &amp; Compensation Plan (Cairo Market, 2026 EGP)</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tcPr>
            <w:tcW w:type="pct" w:w="28%"/>
            <w:tcBorders>
              <w:top w:val="single" w:color="CBD5E1" w:sz="6"/>
              <w:left w:val="single" w:color="CBD5E1" w:sz="6"/>
              <w:bottom w:val="single" w:color="CBD5E1" w:sz="12"/>
              <w:right w:val="single" w:color="CBD5E1" w:sz="6"/>
            </w:tcBorders>
            <w:shd w:fill="0B2545" w:val="clear"/>
            <w:tcMar>
              <w:top w:type="dxa" w:w="80"/>
              <w:left w:type="dxa" w:w="100"/>
              <w:bottom w:type="dxa" w:w="80"/>
              <w:right w:type="dxa" w:w="100"/>
            </w:tcMar>
          </w:tcPr>
          <w:p>
            <w:pPr>
              <w:spacing w:after="0" w:before="0"/>
              <w:jc w:val="center"/>
            </w:pPr>
            <w:r>
              <w:rPr>
                <w:rFonts w:ascii="Calibri" w:cs="Calibri" w:eastAsia="Calibri" w:hAnsi="Calibri"/>
                <w:b/>
                <w:bCs/>
                <w:color w:val="FFFFFF"/>
                <w:sz w:val="19"/>
                <w:szCs w:val="19"/>
              </w:rPr>
              <w:t xml:space="preserve">Role Title</w:t>
            </w:r>
          </w:p>
        </w:tc>
        <w:tc>
          <w:tcPr>
            <w:tcW w:type="pct" w:w="14%"/>
            <w:tcBorders>
              <w:top w:val="single" w:color="CBD5E1" w:sz="6"/>
              <w:left w:val="single" w:color="CBD5E1" w:sz="6"/>
              <w:bottom w:val="single" w:color="CBD5E1" w:sz="12"/>
              <w:right w:val="single" w:color="CBD5E1" w:sz="6"/>
            </w:tcBorders>
            <w:shd w:fill="0B2545" w:val="clear"/>
            <w:tcMar>
              <w:top w:type="dxa" w:w="80"/>
              <w:left w:type="dxa" w:w="100"/>
              <w:bottom w:type="dxa" w:w="80"/>
              <w:right w:type="dxa" w:w="100"/>
            </w:tcMar>
          </w:tcPr>
          <w:p>
            <w:pPr>
              <w:spacing w:after="0" w:before="0"/>
              <w:jc w:val="center"/>
            </w:pPr>
            <w:r>
              <w:rPr>
                <w:rFonts w:ascii="Calibri" w:cs="Calibri" w:eastAsia="Calibri" w:hAnsi="Calibri"/>
                <w:b/>
                <w:bCs/>
                <w:color w:val="FFFFFF"/>
                <w:sz w:val="19"/>
                <w:szCs w:val="19"/>
              </w:rPr>
              <w:t xml:space="preserve">Headcount</w:t>
            </w:r>
          </w:p>
        </w:tc>
        <w:tc>
          <w:tcPr>
            <w:tcW w:type="pct" w:w="18%"/>
            <w:tcBorders>
              <w:top w:val="single" w:color="CBD5E1" w:sz="6"/>
              <w:left w:val="single" w:color="CBD5E1" w:sz="6"/>
              <w:bottom w:val="single" w:color="CBD5E1" w:sz="12"/>
              <w:right w:val="single" w:color="CBD5E1" w:sz="6"/>
            </w:tcBorders>
            <w:shd w:fill="0B2545" w:val="clear"/>
            <w:tcMar>
              <w:top w:type="dxa" w:w="80"/>
              <w:left w:type="dxa" w:w="100"/>
              <w:bottom w:type="dxa" w:w="80"/>
              <w:right w:type="dxa" w:w="100"/>
            </w:tcMar>
          </w:tcPr>
          <w:p>
            <w:pPr>
              <w:spacing w:after="0" w:before="0"/>
              <w:jc w:val="center"/>
            </w:pPr>
            <w:r>
              <w:rPr>
                <w:rFonts w:ascii="Calibri" w:cs="Calibri" w:eastAsia="Calibri" w:hAnsi="Calibri"/>
                <w:b/>
                <w:bCs/>
                <w:color w:val="FFFFFF"/>
                <w:sz w:val="19"/>
                <w:szCs w:val="19"/>
              </w:rPr>
              <w:t xml:space="preserve">Target Hire Window</w:t>
            </w:r>
          </w:p>
        </w:tc>
        <w:tc>
          <w:tcPr>
            <w:tcW w:type="pct" w:w="20%"/>
            <w:tcBorders>
              <w:top w:val="single" w:color="CBD5E1" w:sz="6"/>
              <w:left w:val="single" w:color="CBD5E1" w:sz="6"/>
              <w:bottom w:val="single" w:color="CBD5E1" w:sz="12"/>
              <w:right w:val="single" w:color="CBD5E1" w:sz="6"/>
            </w:tcBorders>
            <w:shd w:fill="0B2545" w:val="clear"/>
            <w:tcMar>
              <w:top w:type="dxa" w:w="80"/>
              <w:left w:type="dxa" w:w="100"/>
              <w:bottom w:type="dxa" w:w="80"/>
              <w:right w:type="dxa" w:w="100"/>
            </w:tcMar>
          </w:tcPr>
          <w:p>
            <w:pPr>
              <w:spacing w:after="0" w:before="0"/>
              <w:jc w:val="center"/>
            </w:pPr>
            <w:r>
              <w:rPr>
                <w:rFonts w:ascii="Calibri" w:cs="Calibri" w:eastAsia="Calibri" w:hAnsi="Calibri"/>
                <w:b/>
                <w:bCs/>
                <w:color w:val="FFFFFF"/>
                <w:sz w:val="19"/>
                <w:szCs w:val="19"/>
              </w:rPr>
              <w:t xml:space="preserve">Monthly Gross (EGP)</w:t>
            </w:r>
          </w:p>
        </w:tc>
        <w:tc>
          <w:tcPr>
            <w:tcW w:type="pct" w:w="20%"/>
            <w:tcBorders>
              <w:top w:val="single" w:color="CBD5E1" w:sz="6"/>
              <w:left w:val="single" w:color="CBD5E1" w:sz="6"/>
              <w:bottom w:val="single" w:color="CBD5E1" w:sz="12"/>
              <w:right w:val="single" w:color="CBD5E1" w:sz="6"/>
            </w:tcBorders>
            <w:shd w:fill="0B2545" w:val="clear"/>
            <w:tcMar>
              <w:top w:type="dxa" w:w="80"/>
              <w:left w:type="dxa" w:w="100"/>
              <w:bottom w:type="dxa" w:w="80"/>
              <w:right w:type="dxa" w:w="100"/>
            </w:tcMar>
          </w:tcPr>
          <w:p>
            <w:pPr>
              <w:spacing w:after="0" w:before="0"/>
              <w:jc w:val="center"/>
            </w:pPr>
            <w:r>
              <w:rPr>
                <w:rFonts w:ascii="Calibri" w:cs="Calibri" w:eastAsia="Calibri" w:hAnsi="Calibri"/>
                <w:b/>
                <w:bCs/>
                <w:color w:val="FFFFFF"/>
                <w:sz w:val="19"/>
                <w:szCs w:val="19"/>
              </w:rPr>
              <w:t xml:space="preserve">Annual Total Cost + Benefits (EGP)</w:t>
            </w:r>
          </w:p>
        </w:tc>
      </w:tr>
      <w:tr>
        <w:tc>
          <w:tcPr>
            <w:tcW w:type="pct" w:w="28%"/>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Head of AI &amp; Innovation</w:t>
            </w:r>
          </w:p>
        </w:tc>
        <w:tc>
          <w:tcPr>
            <w:tcW w:type="pct" w:w="1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1 FTE</w:t>
            </w:r>
          </w:p>
        </w:tc>
        <w:tc>
          <w:tcPr>
            <w:tcW w:type="pct" w:w="18%"/>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Month 4</w:t>
            </w:r>
          </w:p>
        </w:tc>
        <w:tc>
          <w:tcPr>
            <w:tcW w:type="pct" w:w="20%"/>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110k – 140k</w:t>
            </w:r>
          </w:p>
        </w:tc>
        <w:tc>
          <w:tcPr>
            <w:tcW w:type="pct" w:w="20%"/>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1,600,000</w:t>
            </w:r>
          </w:p>
        </w:tc>
      </w:tr>
      <w:tr>
        <w:tc>
          <w:tcPr>
            <w:tcW w:type="pct" w:w="28%"/>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Lead AI / MLOps Engineer</w:t>
            </w:r>
          </w:p>
        </w:tc>
        <w:tc>
          <w:tcPr>
            <w:tcW w:type="pct" w:w="14%"/>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1 FTE</w:t>
            </w:r>
          </w:p>
        </w:tc>
        <w:tc>
          <w:tcPr>
            <w:tcW w:type="pct" w:w="18%"/>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Month 5</w:t>
            </w:r>
          </w:p>
        </w:tc>
        <w:tc>
          <w:tcPr>
            <w:tcW w:type="pct" w:w="20%"/>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75k – 95k</w:t>
            </w:r>
          </w:p>
        </w:tc>
        <w:tc>
          <w:tcPr>
            <w:tcW w:type="pct" w:w="20%"/>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1,100,000</w:t>
            </w:r>
          </w:p>
        </w:tc>
      </w:tr>
      <w:tr>
        <w:tc>
          <w:tcPr>
            <w:tcW w:type="pct" w:w="28%"/>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Senior Data Integration Engineer</w:t>
            </w:r>
          </w:p>
        </w:tc>
        <w:tc>
          <w:tcPr>
            <w:tcW w:type="pct" w:w="1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1 FTE</w:t>
            </w:r>
          </w:p>
        </w:tc>
        <w:tc>
          <w:tcPr>
            <w:tcW w:type="pct" w:w="18%"/>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Month 7</w:t>
            </w:r>
          </w:p>
        </w:tc>
        <w:tc>
          <w:tcPr>
            <w:tcW w:type="pct" w:w="20%"/>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60k – 80k</w:t>
            </w:r>
          </w:p>
        </w:tc>
        <w:tc>
          <w:tcPr>
            <w:tcW w:type="pct" w:w="20%"/>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900,000</w:t>
            </w:r>
          </w:p>
        </w:tc>
      </w:tr>
      <w:tr>
        <w:tc>
          <w:tcPr>
            <w:tcW w:type="pct" w:w="28%"/>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Total Year-1 CoE Payroll</w:t>
            </w:r>
          </w:p>
        </w:tc>
        <w:tc>
          <w:tcPr>
            <w:tcW w:type="pct" w:w="14%"/>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3 FTEs</w:t>
            </w:r>
          </w:p>
        </w:tc>
        <w:tc>
          <w:tcPr>
            <w:tcW w:type="pct" w:w="18%"/>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Phased Onboarding</w:t>
            </w:r>
          </w:p>
        </w:tc>
        <w:tc>
          <w:tcPr>
            <w:tcW w:type="pct" w:w="20%"/>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w:t>
            </w:r>
          </w:p>
        </w:tc>
        <w:tc>
          <w:tcPr>
            <w:tcW w:type="pct" w:w="20%"/>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EGP ~2,600,000 (Prorated Y1)</w:t>
            </w:r>
          </w:p>
        </w:tc>
      </w:tr>
    </w:tbl>
    <w:p>
      <w:pPr>
        <w:pStyle w:val="Heading1"/>
        <w:spacing w:after="100" w:before="280"/>
      </w:pPr>
      <w:r>
        <w:rPr>
          <w:rFonts w:ascii="Calibri" w:cs="Calibri" w:eastAsia="Calibri" w:hAnsi="Calibri"/>
          <w:b/>
          <w:bCs/>
          <w:color w:val="0B2545"/>
          <w:sz w:val="26"/>
          <w:szCs w:val="26"/>
        </w:rPr>
        <w:t xml:space="preserve">6. Implementation Roadmap &amp; Risk Governance</w:t>
      </w:r>
    </w:p>
    <w:p>
      <w:pPr>
        <w:spacing w:after="60" w:before="40" w:line="250"/>
        <w:jc w:val="left"/>
      </w:pPr>
      <w:r>
        <w:rPr>
          <w:rFonts w:ascii="Calibri" w:cs="Calibri" w:eastAsia="Calibri" w:hAnsi="Calibri"/>
          <w:b w:val="false"/>
          <w:bCs w:val="false"/>
          <w:i w:val="false"/>
          <w:iCs w:val="false"/>
          <w:color w:val="1E293B"/>
          <w:sz w:val="21"/>
          <w:szCs w:val="21"/>
        </w:rPr>
        <w:t xml:space="preserve">The deployment of MIDBrain follows a disciplined 5-phase execution plan:</w:t>
      </w:r>
    </w:p>
    <w:p>
      <w:pPr>
        <w:pStyle w:val="Heading2"/>
        <w:spacing w:after="80" w:before="200"/>
      </w:pPr>
      <w:r>
        <w:rPr>
          <w:rFonts w:ascii="Calibri" w:cs="Calibri" w:eastAsia="Calibri" w:hAnsi="Calibri"/>
          <w:b/>
          <w:bCs/>
          <w:color w:val="B8860B"/>
          <w:sz w:val="21"/>
          <w:szCs w:val="21"/>
        </w:rPr>
        <w:t xml:space="preserve">6.1 Phased Execution Schedule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tcW w:type="pct" w:w="20%"/>
            <w:tcBorders>
              <w:top w:val="single" w:color="CBD5E1" w:sz="6"/>
              <w:left w:val="single" w:color="CBD5E1" w:sz="6"/>
              <w:bottom w:val="single" w:color="CBD5E1" w:sz="12"/>
              <w:right w:val="single" w:color="CBD5E1" w:sz="6"/>
            </w:tcBorders>
            <w:shd w:fill="0B2545" w:val="clear"/>
            <w:tcMar>
              <w:top w:type="dxa" w:w="80"/>
              <w:left w:type="dxa" w:w="100"/>
              <w:bottom w:type="dxa" w:w="80"/>
              <w:right w:type="dxa" w:w="100"/>
            </w:tcMar>
          </w:tcPr>
          <w:p>
            <w:pPr>
              <w:spacing w:after="0" w:before="0"/>
              <w:jc w:val="center"/>
            </w:pPr>
            <w:r>
              <w:rPr>
                <w:rFonts w:ascii="Calibri" w:cs="Calibri" w:eastAsia="Calibri" w:hAnsi="Calibri"/>
                <w:b/>
                <w:bCs/>
                <w:color w:val="FFFFFF"/>
                <w:sz w:val="19"/>
                <w:szCs w:val="19"/>
              </w:rPr>
              <w:t xml:space="preserve">Phase &amp; Horizon</w:t>
            </w:r>
          </w:p>
        </w:tc>
        <w:tc>
          <w:tcPr>
            <w:tcW w:type="pct" w:w="16%"/>
            <w:tcBorders>
              <w:top w:val="single" w:color="CBD5E1" w:sz="6"/>
              <w:left w:val="single" w:color="CBD5E1" w:sz="6"/>
              <w:bottom w:val="single" w:color="CBD5E1" w:sz="12"/>
              <w:right w:val="single" w:color="CBD5E1" w:sz="6"/>
            </w:tcBorders>
            <w:shd w:fill="0B2545" w:val="clear"/>
            <w:tcMar>
              <w:top w:type="dxa" w:w="80"/>
              <w:left w:type="dxa" w:w="100"/>
              <w:bottom w:type="dxa" w:w="80"/>
              <w:right w:type="dxa" w:w="100"/>
            </w:tcMar>
          </w:tcPr>
          <w:p>
            <w:pPr>
              <w:spacing w:after="0" w:before="0"/>
              <w:jc w:val="center"/>
            </w:pPr>
            <w:r>
              <w:rPr>
                <w:rFonts w:ascii="Calibri" w:cs="Calibri" w:eastAsia="Calibri" w:hAnsi="Calibri"/>
                <w:b/>
                <w:bCs/>
                <w:color w:val="FFFFFF"/>
                <w:sz w:val="19"/>
                <w:szCs w:val="19"/>
              </w:rPr>
              <w:t xml:space="preserve">Timeframe</w:t>
            </w:r>
          </w:p>
        </w:tc>
        <w:tc>
          <w:tcPr>
            <w:tcW w:type="pct" w:w="44%"/>
            <w:tcBorders>
              <w:top w:val="single" w:color="CBD5E1" w:sz="6"/>
              <w:left w:val="single" w:color="CBD5E1" w:sz="6"/>
              <w:bottom w:val="single" w:color="CBD5E1" w:sz="12"/>
              <w:right w:val="single" w:color="CBD5E1" w:sz="6"/>
            </w:tcBorders>
            <w:shd w:fill="0B2545" w:val="clear"/>
            <w:tcMar>
              <w:top w:type="dxa" w:w="80"/>
              <w:left w:type="dxa" w:w="100"/>
              <w:bottom w:type="dxa" w:w="80"/>
              <w:right w:type="dxa" w:w="100"/>
            </w:tcMar>
          </w:tcPr>
          <w:p>
            <w:pPr>
              <w:spacing w:after="0" w:before="0"/>
              <w:jc w:val="center"/>
            </w:pPr>
            <w:r>
              <w:rPr>
                <w:rFonts w:ascii="Calibri" w:cs="Calibri" w:eastAsia="Calibri" w:hAnsi="Calibri"/>
                <w:b/>
                <w:bCs/>
                <w:color w:val="FFFFFF"/>
                <w:sz w:val="19"/>
                <w:szCs w:val="19"/>
              </w:rPr>
              <w:t xml:space="preserve">Key Milestones &amp; Engineering Deliverables</w:t>
            </w:r>
          </w:p>
        </w:tc>
        <w:tc>
          <w:tcPr>
            <w:tcW w:type="pct" w:w="20%"/>
            <w:tcBorders>
              <w:top w:val="single" w:color="CBD5E1" w:sz="6"/>
              <w:left w:val="single" w:color="CBD5E1" w:sz="6"/>
              <w:bottom w:val="single" w:color="CBD5E1" w:sz="12"/>
              <w:right w:val="single" w:color="CBD5E1" w:sz="6"/>
            </w:tcBorders>
            <w:shd w:fill="0B2545" w:val="clear"/>
            <w:tcMar>
              <w:top w:type="dxa" w:w="80"/>
              <w:left w:type="dxa" w:w="100"/>
              <w:bottom w:type="dxa" w:w="80"/>
              <w:right w:type="dxa" w:w="100"/>
            </w:tcMar>
          </w:tcPr>
          <w:p>
            <w:pPr>
              <w:spacing w:after="0" w:before="0"/>
              <w:jc w:val="center"/>
            </w:pPr>
            <w:r>
              <w:rPr>
                <w:rFonts w:ascii="Calibri" w:cs="Calibri" w:eastAsia="Calibri" w:hAnsi="Calibri"/>
                <w:b/>
                <w:bCs/>
                <w:color w:val="FFFFFF"/>
                <w:sz w:val="19"/>
                <w:szCs w:val="19"/>
              </w:rPr>
              <w:t xml:space="preserve">Target Governance Gate</w:t>
            </w:r>
          </w:p>
        </w:tc>
      </w:tr>
      <w:tr>
        <w:tc>
          <w:tcPr>
            <w:tcW w:type="pct" w:w="20%"/>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Phase 1: Project Selection</w:t>
            </w:r>
          </w:p>
        </w:tc>
        <w:tc>
          <w:tcPr>
            <w:tcW w:type="pct" w:w="16%"/>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Weeks 1–2</w:t>
            </w:r>
          </w:p>
        </w:tc>
        <w:tc>
          <w:tcPr>
            <w:tcW w:type="pct" w:w="4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15 use cases brainstormed; 4 canvases elaborated; 2 priority projects selected</w:t>
            </w:r>
          </w:p>
        </w:tc>
        <w:tc>
          <w:tcPr>
            <w:tcW w:type="pct" w:w="20%"/>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Executive Steering Committee Sign-Off</w:t>
            </w:r>
          </w:p>
        </w:tc>
      </w:tr>
      <w:tr>
        <w:tc>
          <w:tcPr>
            <w:tcW w:type="pct" w:w="20%"/>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Phase 2: POC Experimentation</w:t>
            </w:r>
          </w:p>
        </w:tc>
        <w:tc>
          <w:tcPr>
            <w:tcW w:type="pct" w:w="16%"/>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Weeks 3–11 (9 Wks)</w:t>
            </w:r>
          </w:p>
        </w:tc>
        <w:tc>
          <w:tcPr>
            <w:tcW w:type="pct" w:w="44%"/>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50 historical anonymized SME credit files evaluated; Arabic OCR &amp; financial spreading accuracy tested</w:t>
            </w:r>
          </w:p>
        </w:tc>
        <w:tc>
          <w:tcPr>
            <w:tcW w:type="pct" w:w="20%"/>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POC Decision Scorecard &amp; Production Gate PASS</w:t>
            </w:r>
          </w:p>
        </w:tc>
      </w:tr>
      <w:tr>
        <w:tc>
          <w:tcPr>
            <w:tcW w:type="pct" w:w="20%"/>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Phase 3: AI CoE &amp; Team</w:t>
            </w:r>
          </w:p>
        </w:tc>
        <w:tc>
          <w:tcPr>
            <w:tcW w:type="pct" w:w="16%"/>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Months 4–6</w:t>
            </w:r>
          </w:p>
        </w:tc>
        <w:tc>
          <w:tcPr>
            <w:tcW w:type="pct" w:w="4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Establish CoE charter; recruit Head of AI &amp; Lead MLOps Engineer; train credit champions</w:t>
            </w:r>
          </w:p>
        </w:tc>
        <w:tc>
          <w:tcPr>
            <w:tcW w:type="pct" w:w="20%"/>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Operating Charter &amp; Training Sign-Off</w:t>
            </w:r>
          </w:p>
        </w:tc>
      </w:tr>
      <w:tr>
        <w:tc>
          <w:tcPr>
            <w:tcW w:type="pct" w:w="20%"/>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Phase 4: Datacenter Deployment</w:t>
            </w:r>
          </w:p>
        </w:tc>
        <w:tc>
          <w:tcPr>
            <w:tcW w:type="pct" w:w="16%"/>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Months 5–7</w:t>
            </w:r>
          </w:p>
        </w:tc>
        <w:tc>
          <w:tcPr>
            <w:tcW w:type="pct" w:w="44%"/>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Install sovereign Dell dual-GPU server; complete mTLS integration with DMS &amp; Core Banking</w:t>
            </w:r>
          </w:p>
        </w:tc>
        <w:tc>
          <w:tcPr>
            <w:tcW w:type="pct" w:w="20%"/>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Security &amp; CBE Secrecy Audit Sign-Off</w:t>
            </w:r>
          </w:p>
        </w:tc>
      </w:tr>
      <w:tr>
        <w:tc>
          <w:tcPr>
            <w:tcW w:type="pct" w:w="20%"/>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Phase 5: Production Rollout</w:t>
            </w:r>
          </w:p>
        </w:tc>
        <w:tc>
          <w:tcPr>
            <w:tcW w:type="pct" w:w="16%"/>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Months 8–12</w:t>
            </w:r>
          </w:p>
        </w:tc>
        <w:tc>
          <w:tcPr>
            <w:tcW w:type="pct" w:w="44%"/>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Live deployment across SME Lending &amp; Corporate divisions; launch Wave 2 CBE Compliance Advisor</w:t>
            </w:r>
          </w:p>
        </w:tc>
        <w:tc>
          <w:tcPr>
            <w:tcW w:type="pct" w:w="20%"/>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Enterprise Go-Live &amp; Scaling</w:t>
            </w:r>
          </w:p>
        </w:tc>
      </w:tr>
    </w:tbl>
    <w:p>
      <w:pPr>
        <w:pStyle w:val="Heading2"/>
        <w:spacing w:after="80" w:before="200"/>
      </w:pPr>
      <w:r>
        <w:rPr>
          <w:rFonts w:ascii="Calibri" w:cs="Calibri" w:eastAsia="Calibri" w:hAnsi="Calibri"/>
          <w:b/>
          <w:bCs/>
          <w:color w:val="B8860B"/>
          <w:sz w:val="21"/>
          <w:szCs w:val="21"/>
        </w:rPr>
        <w:t xml:space="preserve">6.2 Risk Management &amp; Mitigation Matrix</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W w:type="pct" w:w="22%"/>
            <w:tcBorders>
              <w:top w:val="single" w:color="CBD5E1" w:sz="6"/>
              <w:left w:val="single" w:color="CBD5E1" w:sz="6"/>
              <w:bottom w:val="single" w:color="CBD5E1" w:sz="12"/>
              <w:right w:val="single" w:color="CBD5E1" w:sz="6"/>
            </w:tcBorders>
            <w:shd w:fill="0B2545" w:val="clear"/>
            <w:tcMar>
              <w:top w:type="dxa" w:w="80"/>
              <w:left w:type="dxa" w:w="100"/>
              <w:bottom w:type="dxa" w:w="80"/>
              <w:right w:type="dxa" w:w="100"/>
            </w:tcMar>
          </w:tcPr>
          <w:p>
            <w:pPr>
              <w:spacing w:after="0" w:before="0"/>
              <w:jc w:val="center"/>
            </w:pPr>
            <w:r>
              <w:rPr>
                <w:rFonts w:ascii="Calibri" w:cs="Calibri" w:eastAsia="Calibri" w:hAnsi="Calibri"/>
                <w:b/>
                <w:bCs/>
                <w:color w:val="FFFFFF"/>
                <w:sz w:val="19"/>
                <w:szCs w:val="19"/>
              </w:rPr>
              <w:t xml:space="preserve">Risk Category</w:t>
            </w:r>
          </w:p>
        </w:tc>
        <w:tc>
          <w:tcPr>
            <w:tcW w:type="pct" w:w="38%"/>
            <w:tcBorders>
              <w:top w:val="single" w:color="CBD5E1" w:sz="6"/>
              <w:left w:val="single" w:color="CBD5E1" w:sz="6"/>
              <w:bottom w:val="single" w:color="CBD5E1" w:sz="12"/>
              <w:right w:val="single" w:color="CBD5E1" w:sz="6"/>
            </w:tcBorders>
            <w:shd w:fill="0B2545" w:val="clear"/>
            <w:tcMar>
              <w:top w:type="dxa" w:w="80"/>
              <w:left w:type="dxa" w:w="100"/>
              <w:bottom w:type="dxa" w:w="80"/>
              <w:right w:type="dxa" w:w="100"/>
            </w:tcMar>
          </w:tcPr>
          <w:p>
            <w:pPr>
              <w:spacing w:after="0" w:before="0"/>
              <w:jc w:val="center"/>
            </w:pPr>
            <w:r>
              <w:rPr>
                <w:rFonts w:ascii="Calibri" w:cs="Calibri" w:eastAsia="Calibri" w:hAnsi="Calibri"/>
                <w:b/>
                <w:bCs/>
                <w:color w:val="FFFFFF"/>
                <w:sz w:val="19"/>
                <w:szCs w:val="19"/>
              </w:rPr>
              <w:t xml:space="preserve">Specific Risk Description</w:t>
            </w:r>
          </w:p>
        </w:tc>
        <w:tc>
          <w:tcPr>
            <w:tcW w:type="pct" w:w="40%"/>
            <w:tcBorders>
              <w:top w:val="single" w:color="CBD5E1" w:sz="6"/>
              <w:left w:val="single" w:color="CBD5E1" w:sz="6"/>
              <w:bottom w:val="single" w:color="CBD5E1" w:sz="12"/>
              <w:right w:val="single" w:color="CBD5E1" w:sz="6"/>
            </w:tcBorders>
            <w:shd w:fill="0B2545" w:val="clear"/>
            <w:tcMar>
              <w:top w:type="dxa" w:w="80"/>
              <w:left w:type="dxa" w:w="100"/>
              <w:bottom w:type="dxa" w:w="80"/>
              <w:right w:type="dxa" w:w="100"/>
            </w:tcMar>
          </w:tcPr>
          <w:p>
            <w:pPr>
              <w:spacing w:after="0" w:before="0"/>
              <w:jc w:val="center"/>
            </w:pPr>
            <w:r>
              <w:rPr>
                <w:rFonts w:ascii="Calibri" w:cs="Calibri" w:eastAsia="Calibri" w:hAnsi="Calibri"/>
                <w:b/>
                <w:bCs/>
                <w:color w:val="FFFFFF"/>
                <w:sz w:val="19"/>
                <w:szCs w:val="19"/>
              </w:rPr>
              <w:t xml:space="preserve">Mitigation &amp; Control Architecture</w:t>
            </w:r>
          </w:p>
        </w:tc>
      </w:tr>
      <w:tr>
        <w:tc>
          <w:tcPr>
            <w:tcW w:type="pct" w:w="22%"/>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Model Hallucination in Numbers</w:t>
            </w:r>
          </w:p>
        </w:tc>
        <w:tc>
          <w:tcPr>
            <w:tcW w:type="pct" w:w="38%"/>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Risk of generating incorrect financial ratios or figures</w:t>
            </w:r>
          </w:p>
        </w:tc>
        <w:tc>
          <w:tcPr>
            <w:tcW w:type="pct" w:w="40%"/>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Financial numbers extracted via deterministic parsers with bounding-box pixel citations; LLM is restricted to qualitative narrative.</w:t>
            </w:r>
          </w:p>
        </w:tc>
      </w:tr>
      <w:tr>
        <w:tc>
          <w:tcPr>
            <w:tcW w:type="pct" w:w="22%"/>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CBE Data Secrecy Breach</w:t>
            </w:r>
          </w:p>
        </w:tc>
        <w:tc>
          <w:tcPr>
            <w:tcW w:type="pct" w:w="38%"/>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Risk of customer data leakage outside the bank</w:t>
            </w:r>
          </w:p>
        </w:tc>
        <w:tc>
          <w:tcPr>
            <w:tcW w:type="pct" w:w="40%"/>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100% on-premises deployment in air-gapped subnet; zero external internet API calls; compliance with CBE Law 194/2020.</w:t>
            </w:r>
          </w:p>
        </w:tc>
      </w:tr>
      <w:tr>
        <w:tc>
          <w:tcPr>
            <w:tcW w:type="pct" w:w="22%"/>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Arabic Accounting Ambiguity</w:t>
            </w:r>
          </w:p>
        </w:tc>
        <w:tc>
          <w:tcPr>
            <w:tcW w:type="pct" w:w="38%"/>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Variations in Egyptian accounting terminology across audit firms</w:t>
            </w:r>
          </w:p>
        </w:tc>
        <w:tc>
          <w:tcPr>
            <w:tcW w:type="pct" w:w="40%"/>
            <w:tcBorders>
              <w:top w:val="single" w:color="CBD5E1" w:sz="4"/>
              <w:left w:val="single" w:color="CBD5E1" w:sz="4"/>
              <w:bottom w:val="single" w:color="CBD5E1" w:sz="4"/>
              <w:right w:val="single" w:color="CBD5E1" w:sz="4"/>
            </w:tcBorders>
            <w:shd w:fill="FFFFFF"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Ingestion of official Egyptian Accounting Standards (EAS) taxonomy and custom synonym dictionary.</w:t>
            </w:r>
          </w:p>
        </w:tc>
      </w:tr>
      <w:tr>
        <w:tc>
          <w:tcPr>
            <w:tcW w:type="pct" w:w="22%"/>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left"/>
            </w:pPr>
            <w:r>
              <w:rPr>
                <w:rFonts w:ascii="Calibri" w:cs="Calibri" w:eastAsia="Calibri" w:hAnsi="Calibri"/>
                <w:b/>
                <w:bCs/>
                <w:color w:val="1E293B"/>
                <w:sz w:val="18"/>
                <w:szCs w:val="18"/>
              </w:rPr>
              <w:t xml:space="preserve">User Adoption &amp; Resistance</w:t>
            </w:r>
          </w:p>
        </w:tc>
        <w:tc>
          <w:tcPr>
            <w:tcW w:type="pct" w:w="38%"/>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Credit analyst hesitation to adopt automated memos</w:t>
            </w:r>
          </w:p>
        </w:tc>
        <w:tc>
          <w:tcPr>
            <w:tcW w:type="pct" w:w="40%"/>
            <w:tcBorders>
              <w:top w:val="single" w:color="CBD5E1" w:sz="4"/>
              <w:left w:val="single" w:color="CBD5E1" w:sz="4"/>
              <w:bottom w:val="single" w:color="CBD5E1" w:sz="4"/>
              <w:right w:val="single" w:color="CBD5E1" w:sz="4"/>
            </w:tcBorders>
            <w:shd w:fill="F1F5F9" w:val="clear"/>
            <w:tcMar>
              <w:top w:type="dxa" w:w="60"/>
              <w:left w:type="dxa" w:w="100"/>
              <w:bottom w:type="dxa" w:w="60"/>
              <w:right w:type="dxa" w:w="100"/>
            </w:tcMar>
          </w:tcPr>
          <w:p>
            <w:pPr>
              <w:spacing w:after="0" w:before="0"/>
              <w:jc w:val="center"/>
            </w:pPr>
            <w:r>
              <w:rPr>
                <w:rFonts w:ascii="Calibri" w:cs="Calibri" w:eastAsia="Calibri" w:hAnsi="Calibri"/>
                <w:b w:val="false"/>
                <w:bCs w:val="false"/>
                <w:color w:val="1E293B"/>
                <w:sz w:val="18"/>
                <w:szCs w:val="18"/>
              </w:rPr>
              <w:t xml:space="preserve">Positioned as an 'Analyst Copilot'; final credit decision and committee sign-off remains 100% human-in-the-loop.</w:t>
            </w:r>
          </w:p>
        </w:tc>
      </w:tr>
    </w:tbl>
    <w:p>
      <w:pPr>
        <w:pStyle w:val="Heading1"/>
        <w:spacing w:after="100" w:before="280"/>
      </w:pPr>
      <w:r>
        <w:rPr>
          <w:rFonts w:ascii="Calibri" w:cs="Calibri" w:eastAsia="Calibri" w:hAnsi="Calibri"/>
          <w:b/>
          <w:bCs/>
          <w:color w:val="0B2545"/>
          <w:sz w:val="26"/>
          <w:szCs w:val="26"/>
        </w:rPr>
        <w:t xml:space="preserve">7. Conclusion &amp; Board Decision Sought</w:t>
      </w:r>
    </w:p>
    <w:p>
      <w:pPr>
        <w:spacing w:after="60" w:before="40" w:line="250"/>
        <w:jc w:val="left"/>
      </w:pPr>
      <w:r>
        <w:rPr>
          <w:rFonts w:ascii="Calibri" w:cs="Calibri" w:eastAsia="Calibri" w:hAnsi="Calibri"/>
          <w:b w:val="false"/>
          <w:bCs w:val="false"/>
          <w:i w:val="false"/>
          <w:iCs w:val="false"/>
          <w:color w:val="1E293B"/>
          <w:sz w:val="21"/>
          <w:szCs w:val="21"/>
        </w:rPr>
        <w:t xml:space="preserve">The MIDBrain platform provides MIDBANK Egypt with an immediate, defensible technological and commercial advantage. By automating tedious financial statement spreading, accelerating SME credit turnaround from 18 to 4–5 days, and institutionalizing CBE regulatory compliance, MIDBANK will capture high-yield SME market share, lower its Cost-to-Income Ratio, and establish a market-leading digital banking benchmark in Egypt.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none"/>
              <w:left w:val="single" w:color="B8860B" w:sz="24"/>
              <w:bottom w:val="none"/>
              <w:right w:val="none"/>
            </w:tcBorders>
            <w:shd w:fill="F8FAFC" w:val="clear"/>
            <w:tcMar>
              <w:top w:type="dxa" w:w="120"/>
              <w:left w:type="dxa" w:w="160"/>
              <w:bottom w:type="dxa" w:w="120"/>
              <w:right w:type="dxa" w:w="160"/>
            </w:tcMar>
          </w:tcPr>
          <w:p>
            <w:pPr>
              <w:spacing w:after="30" w:before="0"/>
            </w:pPr>
            <w:r>
              <w:rPr>
                <w:rFonts w:ascii="Calibri" w:cs="Calibri" w:eastAsia="Calibri" w:hAnsi="Calibri"/>
                <w:b/>
                <w:bCs/>
                <w:color w:val="B8860B"/>
                <w:sz w:val="19"/>
                <w:szCs w:val="19"/>
              </w:rPr>
              <w:t xml:space="preserve">📌 BOARD DECISION SOUGHT</w:t>
            </w:r>
          </w:p>
          <w:p>
            <w:pPr>
              <w:spacing w:after="0" w:before="0" w:line="240"/>
            </w:pPr>
            <w:r>
              <w:rPr>
                <w:rFonts w:ascii="Calibri" w:cs="Calibri" w:eastAsia="Calibri" w:hAnsi="Calibri"/>
                <w:i/>
                <w:iCs/>
                <w:color w:val="1E293B"/>
                <w:sz w:val="20"/>
                <w:szCs w:val="20"/>
              </w:rPr>
              <w:t xml:space="preserve">Action Requested: The Board and Transformation Steering Committee are requested to approve the 9-week POC execution mandate and authorize the Year-1 CapEx/OpEx investment budget (EGP 2.70M) to procure the sovereign on-premises GPU infrastructure and initiate co-development.</w:t>
            </w:r>
          </w:p>
        </w:tc>
      </w:tr>
    </w:tbl>
    <w:sectPr>
      <w:headerReference w:type="default" r:id="rId7"/>
      <w:footerReference w:type="default" r:id="rId8"/>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100"/>
      <w:jc w:val="right"/>
    </w:pPr>
    <w:r>
      <w:rPr>
        <w:rFonts w:ascii="Calibri" w:cs="Calibri" w:eastAsia="Calibri" w:hAnsi="Calibri"/>
        <w:color w:val="64748B"/>
        <w:sz w:val="16"/>
        <w:szCs w:val="16"/>
      </w:rPr>
      <w:t xml:space="preserve">Page </w:t>
    </w:r>
    <w:r>
      <w:rPr>
        <w:rFonts w:ascii="Calibri" w:cs="Calibri" w:eastAsia="Calibri" w:hAnsi="Calibri"/>
        <w:color w:val="64748B"/>
        <w:sz w:val="16"/>
        <w:szCs w:val="16"/>
      </w:rPr>
      <w:fldChar w:fldCharType="begin"/>
      <w:instrText xml:space="preserve">PAGE</w:instrText>
      <w:fldChar w:fldCharType="separate"/>
      <w:fldChar w:fldCharType="end"/>
    </w:r>
    <w:r>
      <w:rPr>
        <w:rFonts w:ascii="Calibri" w:cs="Calibri" w:eastAsia="Calibri" w:hAnsi="Calibri"/>
        <w:color w:val="64748B"/>
        <w:sz w:val="16"/>
        <w:szCs w:val="16"/>
      </w:rPr>
      <w:t xml:space="preserve"> of </w:t>
    </w:r>
    <w:r>
      <w:rPr>
        <w:rFonts w:ascii="Calibri" w:cs="Calibri" w:eastAsia="Calibri" w:hAnsi="Calibri"/>
        <w:color w:val="64748B"/>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100" w:before="0"/>
      <w:jc w:val="right"/>
    </w:pPr>
    <w:r>
      <w:rPr>
        <w:rFonts w:ascii="Calibri" w:cs="Calibri" w:eastAsia="Calibri" w:hAnsi="Calibri"/>
        <w:i/>
        <w:iCs/>
        <w:color w:val="64748B"/>
        <w:sz w:val="16"/>
        <w:szCs w:val="16"/>
      </w:rPr>
      <w:t xml:space="preserve">MIDBANK Egypt — MIDBrain Enterprise AI Business Case | 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Case: MIDBrain Enterprise Banking AI Platform for MIDBANK Egypt</dc:title>
  <dc:creator>Banking AI Advisory &amp; Investment Evaluation Workflow</dc:creator>
  <dc:description>Comprehensive Enterprise Business Case, Investment Model, and Technical Specification for MIDBANK Egypt</dc:description>
  <cp:lastModifiedBy>Un-named</cp:lastModifiedBy>
  <cp:revision>1</cp:revision>
  <dcterms:created xsi:type="dcterms:W3CDTF">2026-08-19T08:46:58.990Z</dcterms:created>
  <dcterms:modified xsi:type="dcterms:W3CDTF">2026-08-19T08:46:58.991Z</dcterms:modified>
</cp:coreProperties>
</file>

<file path=docProps/custom.xml><?xml version="1.0" encoding="utf-8"?>
<Properties xmlns="http://schemas.openxmlformats.org/officeDocument/2006/custom-properties" xmlns:vt="http://schemas.openxmlformats.org/officeDocument/2006/docPropsVTypes"/>
</file>